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56D11" w14:textId="77777777" w:rsidR="00EC724A" w:rsidRPr="00EC724A" w:rsidRDefault="00EC724A" w:rsidP="00EC724A">
      <w:pPr>
        <w:rPr>
          <w:rFonts w:ascii="Times New Roman" w:eastAsia="Times New Roman" w:hAnsi="Times New Roman" w:cs="Times New Roman"/>
          <w:b/>
          <w:bCs/>
          <w:kern w:val="0"/>
          <w:sz w:val="36"/>
          <w:szCs w:val="36"/>
          <w14:ligatures w14:val="none"/>
        </w:rPr>
      </w:pPr>
      <w:r w:rsidRPr="00EC724A">
        <w:rPr>
          <w:rFonts w:ascii="var(--font-lexend)" w:eastAsia="Times New Roman" w:hAnsi="var(--font-lexend)" w:cs="Times New Roman"/>
          <w:b/>
          <w:bCs/>
          <w:kern w:val="0"/>
          <w:sz w:val="36"/>
          <w:szCs w:val="36"/>
          <w14:ligatures w14:val="none"/>
        </w:rPr>
        <w:t xml:space="preserve">5 things you need to know about signing up for </w:t>
      </w:r>
      <w:proofErr w:type="gramStart"/>
      <w:r w:rsidRPr="00EC724A">
        <w:rPr>
          <w:rFonts w:ascii="var(--font-lexend)" w:eastAsia="Times New Roman" w:hAnsi="var(--font-lexend)" w:cs="Times New Roman"/>
          <w:b/>
          <w:bCs/>
          <w:kern w:val="0"/>
          <w:sz w:val="36"/>
          <w:szCs w:val="36"/>
          <w14:ligatures w14:val="none"/>
        </w:rPr>
        <w:t>Medicare</w:t>
      </w:r>
      <w:proofErr w:type="gramEnd"/>
    </w:p>
    <w:p w14:paraId="0F0D4F8F" w14:textId="77777777" w:rsidR="00EC724A" w:rsidRDefault="00EC724A" w:rsidP="00EC724A">
      <w:pPr>
        <w:shd w:val="clear" w:color="auto" w:fill="FFFFFF"/>
        <w:spacing w:after="240"/>
        <w:rPr>
          <w:rFonts w:ascii="Open Sans" w:eastAsia="Times New Roman" w:hAnsi="Open Sans" w:cs="Open Sans"/>
          <w:b/>
          <w:bCs/>
          <w:color w:val="262626"/>
          <w:kern w:val="0"/>
          <w14:ligatures w14:val="none"/>
        </w:rPr>
      </w:pPr>
    </w:p>
    <w:p w14:paraId="1FA60CF4" w14:textId="348936EF" w:rsidR="00EC724A" w:rsidRPr="00EC724A" w:rsidRDefault="00EC724A" w:rsidP="00EC724A">
      <w:pPr>
        <w:shd w:val="clear" w:color="auto" w:fill="FFFFFF"/>
        <w:spacing w:after="240"/>
        <w:rPr>
          <w:rFonts w:ascii="Open Sans" w:eastAsia="Times New Roman" w:hAnsi="Open Sans" w:cs="Open Sans"/>
          <w:color w:val="262626"/>
          <w:kern w:val="0"/>
          <w14:ligatures w14:val="none"/>
        </w:rPr>
      </w:pPr>
      <w:r w:rsidRPr="00EC724A">
        <w:rPr>
          <w:rFonts w:ascii="Open Sans" w:eastAsia="Times New Roman" w:hAnsi="Open Sans" w:cs="Open Sans"/>
          <w:b/>
          <w:bCs/>
          <w:color w:val="262626"/>
          <w:kern w:val="0"/>
          <w14:ligatures w14:val="none"/>
        </w:rPr>
        <w:t>1. People are eligible for Medicare for different reasons.  </w:t>
      </w:r>
    </w:p>
    <w:p w14:paraId="404BB612" w14:textId="77777777" w:rsidR="00EC724A" w:rsidRPr="00EC724A" w:rsidRDefault="00EC724A" w:rsidP="00EC724A">
      <w:pPr>
        <w:shd w:val="clear" w:color="auto" w:fill="FFFFFF"/>
        <w:spacing w:before="240" w:after="240"/>
        <w:rPr>
          <w:rFonts w:ascii="Open Sans" w:eastAsia="Times New Roman" w:hAnsi="Open Sans" w:cs="Open Sans"/>
          <w:color w:val="262626"/>
          <w:kern w:val="0"/>
          <w14:ligatures w14:val="none"/>
        </w:rPr>
      </w:pPr>
      <w:r w:rsidRPr="00EC724A">
        <w:rPr>
          <w:rFonts w:ascii="Open Sans" w:eastAsia="Times New Roman" w:hAnsi="Open Sans" w:cs="Open Sans"/>
          <w:color w:val="262626"/>
          <w:kern w:val="0"/>
          <w14:ligatures w14:val="none"/>
        </w:rPr>
        <w:t xml:space="preserve">It’s important to know the different ways people qualify for Medicare. You’ll be able to help current and former employees and their dependents get ready for </w:t>
      </w:r>
      <w:proofErr w:type="gramStart"/>
      <w:r w:rsidRPr="00EC724A">
        <w:rPr>
          <w:rFonts w:ascii="Open Sans" w:eastAsia="Times New Roman" w:hAnsi="Open Sans" w:cs="Open Sans"/>
          <w:color w:val="262626"/>
          <w:kern w:val="0"/>
          <w14:ligatures w14:val="none"/>
        </w:rPr>
        <w:t>Medicare, and</w:t>
      </w:r>
      <w:proofErr w:type="gramEnd"/>
      <w:r w:rsidRPr="00EC724A">
        <w:rPr>
          <w:rFonts w:ascii="Open Sans" w:eastAsia="Times New Roman" w:hAnsi="Open Sans" w:cs="Open Sans"/>
          <w:color w:val="262626"/>
          <w:kern w:val="0"/>
          <w14:ligatures w14:val="none"/>
        </w:rPr>
        <w:t xml:space="preserve"> make timely and appropriate decisions about signing up.</w:t>
      </w:r>
    </w:p>
    <w:p w14:paraId="3394AAAE" w14:textId="77777777" w:rsidR="00EC724A" w:rsidRPr="00EC724A" w:rsidRDefault="00EC724A" w:rsidP="00EC724A">
      <w:pPr>
        <w:shd w:val="clear" w:color="auto" w:fill="FFFFFF"/>
        <w:spacing w:before="240" w:after="240"/>
        <w:rPr>
          <w:rFonts w:ascii="Open Sans" w:eastAsia="Times New Roman" w:hAnsi="Open Sans" w:cs="Open Sans"/>
          <w:color w:val="262626"/>
          <w:kern w:val="0"/>
          <w14:ligatures w14:val="none"/>
        </w:rPr>
      </w:pPr>
      <w:r w:rsidRPr="00EC724A">
        <w:rPr>
          <w:rFonts w:ascii="Open Sans" w:eastAsia="Times New Roman" w:hAnsi="Open Sans" w:cs="Open Sans"/>
          <w:color w:val="262626"/>
          <w:kern w:val="0"/>
          <w14:ligatures w14:val="none"/>
        </w:rPr>
        <w:t>People are eligible for Medicare when they turn 65. People under 65 are eligible if they’ve gotten Social Security Disability Insurance (SSDI) or certain </w:t>
      </w:r>
      <w:hyperlink r:id="rId5" w:history="1">
        <w:r w:rsidRPr="00EC724A">
          <w:rPr>
            <w:rFonts w:ascii="Open Sans" w:eastAsia="Times New Roman" w:hAnsi="Open Sans" w:cs="Open Sans"/>
            <w:color w:val="0000FF"/>
            <w:kern w:val="0"/>
            <w:u w:val="single"/>
            <w14:ligatures w14:val="none"/>
          </w:rPr>
          <w:t>Railroad Retirement Board</w:t>
        </w:r>
      </w:hyperlink>
      <w:r w:rsidRPr="00EC724A">
        <w:rPr>
          <w:rFonts w:ascii="Open Sans" w:eastAsia="Times New Roman" w:hAnsi="Open Sans" w:cs="Open Sans"/>
          <w:color w:val="262626"/>
          <w:kern w:val="0"/>
          <w14:ligatures w14:val="none"/>
        </w:rPr>
        <w:t> (RRB) disability benefits for at least 24 months. If they have amyotrophic lateral sclerosis (ALS), there’s no waiting period for Medicare. Some people with </w:t>
      </w:r>
      <w:hyperlink r:id="rId6" w:history="1">
        <w:r w:rsidRPr="00EC724A">
          <w:rPr>
            <w:rFonts w:ascii="Open Sans" w:eastAsia="Times New Roman" w:hAnsi="Open Sans" w:cs="Open Sans"/>
            <w:color w:val="0000FF"/>
            <w:kern w:val="0"/>
            <w:u w:val="single"/>
            <w14:ligatures w14:val="none"/>
          </w:rPr>
          <w:t>End Stage Renal Disease</w:t>
        </w:r>
      </w:hyperlink>
      <w:r w:rsidRPr="00EC724A">
        <w:rPr>
          <w:rFonts w:ascii="Open Sans" w:eastAsia="Times New Roman" w:hAnsi="Open Sans" w:cs="Open Sans"/>
          <w:color w:val="262626"/>
          <w:kern w:val="0"/>
          <w14:ligatures w14:val="none"/>
        </w:rPr>
        <w:t> (ESRD) may be eligible for Medicare.</w:t>
      </w:r>
    </w:p>
    <w:p w14:paraId="69649C64" w14:textId="77777777" w:rsidR="00EC724A" w:rsidRPr="00EC724A" w:rsidRDefault="00EC724A" w:rsidP="00EC724A">
      <w:pPr>
        <w:shd w:val="clear" w:color="auto" w:fill="FFFFFF"/>
        <w:spacing w:before="240" w:after="240"/>
        <w:rPr>
          <w:rFonts w:ascii="Open Sans" w:eastAsia="Times New Roman" w:hAnsi="Open Sans" w:cs="Open Sans"/>
          <w:color w:val="262626"/>
          <w:kern w:val="0"/>
          <w14:ligatures w14:val="none"/>
        </w:rPr>
      </w:pPr>
      <w:r w:rsidRPr="00EC724A">
        <w:rPr>
          <w:rFonts w:ascii="Open Sans" w:eastAsia="Times New Roman" w:hAnsi="Open Sans" w:cs="Open Sans"/>
          <w:b/>
          <w:bCs/>
          <w:color w:val="262626"/>
          <w:kern w:val="0"/>
          <w14:ligatures w14:val="none"/>
        </w:rPr>
        <w:t>2. Some people get Medicare </w:t>
      </w:r>
      <w:hyperlink r:id="rId7" w:history="1">
        <w:r w:rsidRPr="00EC724A">
          <w:rPr>
            <w:rFonts w:ascii="Open Sans" w:eastAsia="Times New Roman" w:hAnsi="Open Sans" w:cs="Open Sans"/>
            <w:b/>
            <w:bCs/>
            <w:color w:val="0000FF"/>
            <w:kern w:val="0"/>
            <w:u w:val="single"/>
            <w14:ligatures w14:val="none"/>
          </w:rPr>
          <w:t>Part A</w:t>
        </w:r>
      </w:hyperlink>
      <w:r w:rsidRPr="00EC724A">
        <w:rPr>
          <w:rFonts w:ascii="Open Sans" w:eastAsia="Times New Roman" w:hAnsi="Open Sans" w:cs="Open Sans"/>
          <w:b/>
          <w:bCs/>
          <w:color w:val="262626"/>
          <w:kern w:val="0"/>
          <w14:ligatures w14:val="none"/>
        </w:rPr>
        <w:t> (Hospital Insurance) and </w:t>
      </w:r>
      <w:hyperlink r:id="rId8" w:history="1">
        <w:r w:rsidRPr="00EC724A">
          <w:rPr>
            <w:rFonts w:ascii="Open Sans" w:eastAsia="Times New Roman" w:hAnsi="Open Sans" w:cs="Open Sans"/>
            <w:b/>
            <w:bCs/>
            <w:color w:val="0000FF"/>
            <w:kern w:val="0"/>
            <w:u w:val="single"/>
            <w14:ligatures w14:val="none"/>
          </w:rPr>
          <w:t>Part B</w:t>
        </w:r>
      </w:hyperlink>
      <w:r w:rsidRPr="00EC724A">
        <w:rPr>
          <w:rFonts w:ascii="Open Sans" w:eastAsia="Times New Roman" w:hAnsi="Open Sans" w:cs="Open Sans"/>
          <w:b/>
          <w:bCs/>
          <w:color w:val="262626"/>
          <w:kern w:val="0"/>
          <w14:ligatures w14:val="none"/>
        </w:rPr>
        <w:t> (Medical Insurance) automatically, and some people need to sign up. </w:t>
      </w:r>
    </w:p>
    <w:p w14:paraId="53D09799" w14:textId="77777777" w:rsidR="00EC724A" w:rsidRPr="00EC724A" w:rsidRDefault="00EC724A" w:rsidP="00EC724A">
      <w:pPr>
        <w:shd w:val="clear" w:color="auto" w:fill="FFFFFF"/>
        <w:spacing w:before="240" w:after="240"/>
        <w:rPr>
          <w:rFonts w:ascii="Open Sans" w:eastAsia="Times New Roman" w:hAnsi="Open Sans" w:cs="Open Sans"/>
          <w:color w:val="262626"/>
          <w:kern w:val="0"/>
          <w14:ligatures w14:val="none"/>
        </w:rPr>
      </w:pPr>
      <w:r w:rsidRPr="00EC724A">
        <w:rPr>
          <w:rFonts w:ascii="Open Sans" w:eastAsia="Times New Roman" w:hAnsi="Open Sans" w:cs="Open Sans"/>
          <w:color w:val="262626"/>
          <w:kern w:val="0"/>
          <w14:ligatures w14:val="none"/>
        </w:rPr>
        <w:t>People living in the U.S. and U.S. Territories (except Puerto Rico) who are already getting Social Security—either because of disability or retirement—are automatically signed up for Part A and Part B when they’re first eligible. They get a packet of information a few months before they turn 65 or when they get their 25th month of Social Security Disability or Railroad Retirement Board (RRB) benefits. At that time, they can choose to keep or decline Part B, but can’t they decline Part A unless they withdraw their original application for Social Security and pay back all Social Security cash benefits.  </w:t>
      </w:r>
    </w:p>
    <w:p w14:paraId="0454984F" w14:textId="77777777" w:rsidR="00EC724A" w:rsidRPr="00EC724A" w:rsidRDefault="00EC724A" w:rsidP="00EC724A">
      <w:pPr>
        <w:shd w:val="clear" w:color="auto" w:fill="FFFFFF"/>
        <w:spacing w:before="240" w:after="240"/>
        <w:rPr>
          <w:rFonts w:ascii="Open Sans" w:eastAsia="Times New Roman" w:hAnsi="Open Sans" w:cs="Open Sans"/>
          <w:color w:val="262626"/>
          <w:kern w:val="0"/>
          <w14:ligatures w14:val="none"/>
        </w:rPr>
      </w:pPr>
      <w:r w:rsidRPr="00EC724A">
        <w:rPr>
          <w:rFonts w:ascii="Open Sans" w:eastAsia="Times New Roman" w:hAnsi="Open Sans" w:cs="Open Sans"/>
          <w:color w:val="262626"/>
          <w:kern w:val="0"/>
          <w14:ligatures w14:val="none"/>
        </w:rPr>
        <w:t>People aren’t automatically enrolled in Medicare if they aren’t getting Social Security or aren’t eligible for Social Security retirement. They can sign up by completing an application for Part A (Hospital Insurance) (</w:t>
      </w:r>
      <w:hyperlink r:id="rId9" w:history="1">
        <w:r w:rsidRPr="00EC724A">
          <w:rPr>
            <w:rFonts w:ascii="Open Sans" w:eastAsia="Times New Roman" w:hAnsi="Open Sans" w:cs="Open Sans"/>
            <w:color w:val="0000FF"/>
            <w:kern w:val="0"/>
            <w:u w:val="single"/>
            <w14:ligatures w14:val="none"/>
          </w:rPr>
          <w:t>CMS 18-F-5</w:t>
        </w:r>
      </w:hyperlink>
      <w:r w:rsidRPr="00EC724A">
        <w:rPr>
          <w:rFonts w:ascii="Open Sans" w:eastAsia="Times New Roman" w:hAnsi="Open Sans" w:cs="Open Sans"/>
          <w:color w:val="262626"/>
          <w:kern w:val="0"/>
          <w14:ligatures w14:val="none"/>
        </w:rPr>
        <w:t>) or by contacting the </w:t>
      </w:r>
      <w:hyperlink r:id="rId10" w:history="1">
        <w:r w:rsidRPr="00EC724A">
          <w:rPr>
            <w:rFonts w:ascii="Open Sans" w:eastAsia="Times New Roman" w:hAnsi="Open Sans" w:cs="Open Sans"/>
            <w:color w:val="0000FF"/>
            <w:kern w:val="0"/>
            <w:u w:val="single"/>
            <w14:ligatures w14:val="none"/>
          </w:rPr>
          <w:t>Social Security</w:t>
        </w:r>
      </w:hyperlink>
      <w:r w:rsidRPr="00EC724A">
        <w:rPr>
          <w:rFonts w:ascii="Open Sans" w:eastAsia="Times New Roman" w:hAnsi="Open Sans" w:cs="Open Sans"/>
          <w:color w:val="262626"/>
          <w:kern w:val="0"/>
          <w14:ligatures w14:val="none"/>
        </w:rPr>
        <w:t> Administration (SSA).  </w:t>
      </w:r>
    </w:p>
    <w:p w14:paraId="3C63CC5E" w14:textId="77777777" w:rsidR="00EC724A" w:rsidRPr="00EC724A" w:rsidRDefault="00EC724A" w:rsidP="00EC724A">
      <w:pPr>
        <w:shd w:val="clear" w:color="auto" w:fill="FFFFFF"/>
        <w:spacing w:before="240" w:after="240"/>
        <w:rPr>
          <w:rFonts w:ascii="Open Sans" w:eastAsia="Times New Roman" w:hAnsi="Open Sans" w:cs="Open Sans"/>
          <w:color w:val="262626"/>
          <w:kern w:val="0"/>
          <w14:ligatures w14:val="none"/>
        </w:rPr>
      </w:pPr>
      <w:r w:rsidRPr="00EC724A">
        <w:rPr>
          <w:rFonts w:ascii="Open Sans" w:eastAsia="Times New Roman" w:hAnsi="Open Sans" w:cs="Open Sans"/>
          <w:color w:val="262626"/>
          <w:kern w:val="0"/>
          <w14:ligatures w14:val="none"/>
        </w:rPr>
        <w:t>People living in Puerto Rico or foreign countries who already have Part A need to sign up for Part B by completing an </w:t>
      </w:r>
      <w:hyperlink r:id="rId11" w:tooltip="CMS 40B" w:history="1">
        <w:r w:rsidRPr="00EC724A">
          <w:rPr>
            <w:rFonts w:ascii="Open Sans" w:eastAsia="Times New Roman" w:hAnsi="Open Sans" w:cs="Open Sans"/>
            <w:color w:val="0000FF"/>
            <w:kern w:val="0"/>
            <w:u w:val="single"/>
            <w14:ligatures w14:val="none"/>
          </w:rPr>
          <w:t>Application for Enrollment in Part B</w:t>
        </w:r>
      </w:hyperlink>
      <w:r w:rsidRPr="00EC724A">
        <w:rPr>
          <w:rFonts w:ascii="Open Sans" w:eastAsia="Times New Roman" w:hAnsi="Open Sans" w:cs="Open Sans"/>
          <w:color w:val="262626"/>
          <w:kern w:val="0"/>
          <w14:ligatures w14:val="none"/>
        </w:rPr>
        <w:t> (CMS-40B). This form is also available in </w:t>
      </w:r>
      <w:hyperlink r:id="rId12" w:tooltip="CMS-40B (Spanish)" w:history="1">
        <w:r w:rsidRPr="00EC724A">
          <w:rPr>
            <w:rFonts w:ascii="Open Sans" w:eastAsia="Times New Roman" w:hAnsi="Open Sans" w:cs="Open Sans"/>
            <w:color w:val="0000FF"/>
            <w:kern w:val="0"/>
            <w:u w:val="single"/>
            <w14:ligatures w14:val="none"/>
          </w:rPr>
          <w:t>Spanish (PDF)</w:t>
        </w:r>
      </w:hyperlink>
      <w:r w:rsidRPr="00EC724A">
        <w:rPr>
          <w:rFonts w:ascii="Open Sans" w:eastAsia="Times New Roman" w:hAnsi="Open Sans" w:cs="Open Sans"/>
          <w:color w:val="262626"/>
          <w:kern w:val="0"/>
          <w14:ligatures w14:val="none"/>
        </w:rPr>
        <w:t>.</w:t>
      </w:r>
    </w:p>
    <w:p w14:paraId="5BA3F86E" w14:textId="77777777" w:rsidR="00EC724A" w:rsidRPr="00EC724A" w:rsidRDefault="00EC724A" w:rsidP="00EC724A">
      <w:pPr>
        <w:shd w:val="clear" w:color="auto" w:fill="FFFFFF"/>
        <w:spacing w:before="240" w:after="240"/>
        <w:rPr>
          <w:rFonts w:ascii="Open Sans" w:eastAsia="Times New Roman" w:hAnsi="Open Sans" w:cs="Open Sans"/>
          <w:color w:val="262626"/>
          <w:kern w:val="0"/>
          <w14:ligatures w14:val="none"/>
        </w:rPr>
      </w:pPr>
      <w:r w:rsidRPr="00EC724A">
        <w:rPr>
          <w:rFonts w:ascii="Open Sans" w:eastAsia="Times New Roman" w:hAnsi="Open Sans" w:cs="Open Sans"/>
          <w:b/>
          <w:bCs/>
          <w:color w:val="262626"/>
          <w:kern w:val="0"/>
          <w14:ligatures w14:val="none"/>
        </w:rPr>
        <w:t>3. </w:t>
      </w:r>
      <w:hyperlink r:id="rId13" w:history="1">
        <w:r w:rsidRPr="00EC724A">
          <w:rPr>
            <w:rFonts w:ascii="Open Sans" w:eastAsia="Times New Roman" w:hAnsi="Open Sans" w:cs="Open Sans"/>
            <w:b/>
            <w:bCs/>
            <w:color w:val="0000FF"/>
            <w:kern w:val="0"/>
            <w:u w:val="single"/>
            <w14:ligatures w14:val="none"/>
          </w:rPr>
          <w:t>People can only sign up for Medicare at certain times</w:t>
        </w:r>
      </w:hyperlink>
      <w:r w:rsidRPr="00EC724A">
        <w:rPr>
          <w:rFonts w:ascii="Open Sans" w:eastAsia="Times New Roman" w:hAnsi="Open Sans" w:cs="Open Sans"/>
          <w:b/>
          <w:bCs/>
          <w:color w:val="262626"/>
          <w:kern w:val="0"/>
          <w14:ligatures w14:val="none"/>
        </w:rPr>
        <w:t>.</w:t>
      </w:r>
    </w:p>
    <w:p w14:paraId="3C7E7C56" w14:textId="77777777" w:rsidR="00EC724A" w:rsidRPr="00EC724A" w:rsidRDefault="00EC724A" w:rsidP="00EC724A">
      <w:pPr>
        <w:shd w:val="clear" w:color="auto" w:fill="FFFFFF"/>
        <w:spacing w:before="240" w:after="240"/>
        <w:rPr>
          <w:rFonts w:ascii="Open Sans" w:eastAsia="Times New Roman" w:hAnsi="Open Sans" w:cs="Open Sans"/>
          <w:color w:val="262626"/>
          <w:kern w:val="0"/>
          <w14:ligatures w14:val="none"/>
        </w:rPr>
      </w:pPr>
      <w:r w:rsidRPr="00EC724A">
        <w:rPr>
          <w:rFonts w:ascii="Open Sans" w:eastAsia="Times New Roman" w:hAnsi="Open Sans" w:cs="Open Sans"/>
          <w:color w:val="262626"/>
          <w:kern w:val="0"/>
          <w14:ligatures w14:val="none"/>
        </w:rPr>
        <w:t>If someone is eligible for premium-free Part A because of their age, and isn’t automatically enrolled, they can sign up for Part A any time after they’re first eligible for Medicare  beginning with their </w:t>
      </w:r>
      <w:hyperlink r:id="rId14" w:history="1">
        <w:r w:rsidRPr="00EC724A">
          <w:rPr>
            <w:rFonts w:ascii="Open Sans" w:eastAsia="Times New Roman" w:hAnsi="Open Sans" w:cs="Open Sans"/>
            <w:color w:val="0000FF"/>
            <w:kern w:val="0"/>
            <w:u w:val="single"/>
            <w14:ligatures w14:val="none"/>
          </w:rPr>
          <w:t>Initial Enrollment Period</w:t>
        </w:r>
      </w:hyperlink>
      <w:r w:rsidRPr="00EC724A">
        <w:rPr>
          <w:rFonts w:ascii="Open Sans" w:eastAsia="Times New Roman" w:hAnsi="Open Sans" w:cs="Open Sans"/>
          <w:color w:val="262626"/>
          <w:kern w:val="0"/>
          <w14:ligatures w14:val="none"/>
        </w:rPr>
        <w:t xml:space="preserve"> (IEP). An individual may </w:t>
      </w:r>
      <w:r w:rsidRPr="00EC724A">
        <w:rPr>
          <w:rFonts w:ascii="Open Sans" w:eastAsia="Times New Roman" w:hAnsi="Open Sans" w:cs="Open Sans"/>
          <w:color w:val="262626"/>
          <w:kern w:val="0"/>
          <w14:ligatures w14:val="none"/>
        </w:rPr>
        <w:lastRenderedPageBreak/>
        <w:t>be eligible for premium-free Part A if they or their spouse paid Medicare taxes while working. If they’re eligible for premium-free Part A, coverage for Part A begins 6 months back from the date they apply, but no earlier than the first month they were eligible for Medicare. Individuals must stop contributing to their health savings account 6 months before applying for Medicare to prevent paying an IRS penalty.</w:t>
      </w:r>
    </w:p>
    <w:p w14:paraId="5B74CA0E" w14:textId="77777777" w:rsidR="00EC724A" w:rsidRPr="00EC724A" w:rsidRDefault="00EC724A" w:rsidP="00EC724A">
      <w:pPr>
        <w:shd w:val="clear" w:color="auto" w:fill="FFFFFF"/>
        <w:spacing w:before="240" w:after="240"/>
        <w:rPr>
          <w:rFonts w:ascii="Open Sans" w:eastAsia="Times New Roman" w:hAnsi="Open Sans" w:cs="Open Sans"/>
          <w:color w:val="262626"/>
          <w:kern w:val="0"/>
          <w14:ligatures w14:val="none"/>
        </w:rPr>
      </w:pPr>
      <w:r w:rsidRPr="00EC724A">
        <w:rPr>
          <w:rFonts w:ascii="Open Sans" w:eastAsia="Times New Roman" w:hAnsi="Open Sans" w:cs="Open Sans"/>
          <w:color w:val="262626"/>
          <w:kern w:val="0"/>
          <w14:ligatures w14:val="none"/>
        </w:rPr>
        <w:t>People can sign up for Part B and premium-Part A during:</w:t>
      </w:r>
    </w:p>
    <w:p w14:paraId="2A785A9F" w14:textId="77777777" w:rsidR="00EC724A" w:rsidRPr="00EC724A" w:rsidRDefault="00EC724A" w:rsidP="00EC724A">
      <w:pPr>
        <w:shd w:val="clear" w:color="auto" w:fill="FFFFFF"/>
        <w:spacing w:before="240" w:after="240"/>
        <w:rPr>
          <w:rFonts w:ascii="Open Sans" w:eastAsia="Times New Roman" w:hAnsi="Open Sans" w:cs="Open Sans"/>
          <w:color w:val="262626"/>
          <w:kern w:val="0"/>
          <w14:ligatures w14:val="none"/>
        </w:rPr>
      </w:pPr>
      <w:r w:rsidRPr="00EC724A">
        <w:rPr>
          <w:rFonts w:ascii="Open Sans" w:eastAsia="Times New Roman" w:hAnsi="Open Sans" w:cs="Open Sans"/>
          <w:b/>
          <w:bCs/>
          <w:color w:val="262626"/>
          <w:kern w:val="0"/>
          <w14:ligatures w14:val="none"/>
        </w:rPr>
        <w:t>Initial Enrollment Period (IEP)</w:t>
      </w:r>
      <w:r w:rsidRPr="00EC724A">
        <w:rPr>
          <w:rFonts w:ascii="Open Sans" w:eastAsia="Times New Roman" w:hAnsi="Open Sans" w:cs="Open Sans"/>
          <w:color w:val="262626"/>
          <w:kern w:val="0"/>
          <w14:ligatures w14:val="none"/>
        </w:rPr>
        <w:t> – The 7-month period when someone is first eligible for Medicare. For those eligible due to age, this period begins 3 months before they turn 65, includes the month they turn 65, and ends 3 months after they turn 65. Coverage begins the month after a person signs up during their IEP. For those eligible due to disability, this period begins three months before their 25th month of disability payments, includes the 25th month, and ends 3 months after. Disabled individuals who have gotten disability benefits from Social Security for 24 months are automatically enrolled in Medicare.</w:t>
      </w:r>
    </w:p>
    <w:p w14:paraId="66394FF0" w14:textId="77777777" w:rsidR="00EC724A" w:rsidRPr="00EC724A" w:rsidRDefault="00EC724A" w:rsidP="00EC724A">
      <w:pPr>
        <w:shd w:val="clear" w:color="auto" w:fill="FFFFFF"/>
        <w:spacing w:before="240" w:after="240"/>
        <w:rPr>
          <w:rFonts w:ascii="Open Sans" w:eastAsia="Times New Roman" w:hAnsi="Open Sans" w:cs="Open Sans"/>
          <w:color w:val="262626"/>
          <w:kern w:val="0"/>
          <w14:ligatures w14:val="none"/>
        </w:rPr>
      </w:pPr>
      <w:r w:rsidRPr="00EC724A">
        <w:rPr>
          <w:rFonts w:ascii="Open Sans" w:eastAsia="Times New Roman" w:hAnsi="Open Sans" w:cs="Open Sans"/>
          <w:b/>
          <w:bCs/>
          <w:color w:val="262626"/>
          <w:kern w:val="0"/>
          <w14:ligatures w14:val="none"/>
        </w:rPr>
        <w:t>General Enrollment Period (GEP)</w:t>
      </w:r>
      <w:r w:rsidRPr="00EC724A">
        <w:rPr>
          <w:rFonts w:ascii="Open Sans" w:eastAsia="Times New Roman" w:hAnsi="Open Sans" w:cs="Open Sans"/>
          <w:color w:val="262626"/>
          <w:kern w:val="0"/>
          <w14:ligatures w14:val="none"/>
        </w:rPr>
        <w:t> – People can sign up between January 1–March 31 each year. Coverage will start the month after the person signs up.</w:t>
      </w:r>
    </w:p>
    <w:p w14:paraId="3FBCA3A6" w14:textId="77777777" w:rsidR="00EC724A" w:rsidRPr="00EC724A" w:rsidRDefault="00EC724A" w:rsidP="00EC724A">
      <w:pPr>
        <w:shd w:val="clear" w:color="auto" w:fill="FFFFFF"/>
        <w:spacing w:before="240" w:after="240"/>
        <w:rPr>
          <w:rFonts w:ascii="Open Sans" w:eastAsia="Times New Roman" w:hAnsi="Open Sans" w:cs="Open Sans"/>
          <w:color w:val="262626"/>
          <w:kern w:val="0"/>
          <w14:ligatures w14:val="none"/>
        </w:rPr>
      </w:pPr>
      <w:hyperlink r:id="rId15" w:history="1">
        <w:r w:rsidRPr="00EC724A">
          <w:rPr>
            <w:rFonts w:ascii="Open Sans" w:eastAsia="Times New Roman" w:hAnsi="Open Sans" w:cs="Open Sans"/>
            <w:b/>
            <w:bCs/>
            <w:color w:val="0000FF"/>
            <w:kern w:val="0"/>
            <w:u w:val="single"/>
            <w14:ligatures w14:val="none"/>
          </w:rPr>
          <w:t>Special Enrollment Period</w:t>
        </w:r>
      </w:hyperlink>
      <w:r w:rsidRPr="00EC724A">
        <w:rPr>
          <w:rFonts w:ascii="Open Sans" w:eastAsia="Times New Roman" w:hAnsi="Open Sans" w:cs="Open Sans"/>
          <w:b/>
          <w:bCs/>
          <w:color w:val="262626"/>
          <w:kern w:val="0"/>
          <w14:ligatures w14:val="none"/>
        </w:rPr>
        <w:t> (SEP) Related to Coverage Under Group Health Plans</w:t>
      </w:r>
    </w:p>
    <w:p w14:paraId="42DEDBA4" w14:textId="77777777" w:rsidR="00EC724A" w:rsidRPr="00EC724A" w:rsidRDefault="00EC724A" w:rsidP="00EC724A">
      <w:pPr>
        <w:numPr>
          <w:ilvl w:val="0"/>
          <w:numId w:val="1"/>
        </w:numPr>
        <w:shd w:val="clear" w:color="auto" w:fill="FFFFFF"/>
        <w:spacing w:before="100" w:beforeAutospacing="1" w:after="100" w:afterAutospacing="1"/>
        <w:rPr>
          <w:rFonts w:ascii="Open Sans" w:eastAsia="Times New Roman" w:hAnsi="Open Sans" w:cs="Open Sans"/>
          <w:color w:val="262626"/>
          <w:kern w:val="0"/>
          <w14:ligatures w14:val="none"/>
        </w:rPr>
      </w:pPr>
      <w:r w:rsidRPr="00EC724A">
        <w:rPr>
          <w:rFonts w:ascii="Open Sans" w:eastAsia="Times New Roman" w:hAnsi="Open Sans" w:cs="Open Sans"/>
          <w:color w:val="262626"/>
          <w:kern w:val="0"/>
          <w14:ligatures w14:val="none"/>
        </w:rPr>
        <w:t xml:space="preserve">This SEP is an opportunity for people who didn’t sign up for Medicare when first eligible because they had group health plan coverage based on current employment (their own, a </w:t>
      </w:r>
      <w:proofErr w:type="gramStart"/>
      <w:r w:rsidRPr="00EC724A">
        <w:rPr>
          <w:rFonts w:ascii="Open Sans" w:eastAsia="Times New Roman" w:hAnsi="Open Sans" w:cs="Open Sans"/>
          <w:color w:val="262626"/>
          <w:kern w:val="0"/>
          <w14:ligatures w14:val="none"/>
        </w:rPr>
        <w:t>spouse’s</w:t>
      </w:r>
      <w:proofErr w:type="gramEnd"/>
      <w:r w:rsidRPr="00EC724A">
        <w:rPr>
          <w:rFonts w:ascii="Open Sans" w:eastAsia="Times New Roman" w:hAnsi="Open Sans" w:cs="Open Sans"/>
          <w:color w:val="262626"/>
          <w:kern w:val="0"/>
          <w14:ligatures w14:val="none"/>
        </w:rPr>
        <w:t>, or a disabled family member’s).</w:t>
      </w:r>
    </w:p>
    <w:p w14:paraId="7A9CEF3A" w14:textId="77777777" w:rsidR="00EC724A" w:rsidRPr="00EC724A" w:rsidRDefault="00EC724A" w:rsidP="00EC724A">
      <w:pPr>
        <w:numPr>
          <w:ilvl w:val="0"/>
          <w:numId w:val="1"/>
        </w:numPr>
        <w:shd w:val="clear" w:color="auto" w:fill="FFFFFF"/>
        <w:spacing w:before="100" w:beforeAutospacing="1" w:after="100" w:afterAutospacing="1"/>
        <w:rPr>
          <w:rFonts w:ascii="Open Sans" w:eastAsia="Times New Roman" w:hAnsi="Open Sans" w:cs="Open Sans"/>
          <w:color w:val="262626"/>
          <w:kern w:val="0"/>
          <w14:ligatures w14:val="none"/>
        </w:rPr>
      </w:pPr>
      <w:r w:rsidRPr="00EC724A">
        <w:rPr>
          <w:rFonts w:ascii="Open Sans" w:eastAsia="Times New Roman" w:hAnsi="Open Sans" w:cs="Open Sans"/>
          <w:color w:val="262626"/>
          <w:kern w:val="0"/>
          <w14:ligatures w14:val="none"/>
        </w:rPr>
        <w:t>A person may sign up for Medicare while they’re still covered under the group health plan based on current employment, or the first month when their coverage isn’t based on current employment. They may choose to have coverage begin on the month they sign up or at the beginning of any of the three months after they sign up.</w:t>
      </w:r>
    </w:p>
    <w:p w14:paraId="71927D4D" w14:textId="77777777" w:rsidR="00EC724A" w:rsidRPr="00EC724A" w:rsidRDefault="00EC724A" w:rsidP="00EC724A">
      <w:pPr>
        <w:numPr>
          <w:ilvl w:val="0"/>
          <w:numId w:val="1"/>
        </w:numPr>
        <w:shd w:val="clear" w:color="auto" w:fill="FFFFFF"/>
        <w:spacing w:before="100" w:beforeAutospacing="1" w:after="100" w:afterAutospacing="1"/>
        <w:rPr>
          <w:rFonts w:ascii="Open Sans" w:eastAsia="Times New Roman" w:hAnsi="Open Sans" w:cs="Open Sans"/>
          <w:color w:val="262626"/>
          <w:kern w:val="0"/>
          <w14:ligatures w14:val="none"/>
        </w:rPr>
      </w:pPr>
      <w:r w:rsidRPr="00EC724A">
        <w:rPr>
          <w:rFonts w:ascii="Open Sans" w:eastAsia="Times New Roman" w:hAnsi="Open Sans" w:cs="Open Sans"/>
          <w:color w:val="262626"/>
          <w:kern w:val="0"/>
          <w14:ligatures w14:val="none"/>
        </w:rPr>
        <w:t>If they sign up for Medicare during any of the remaining seven months of this SEP, coverage will begin the month after they sign up.</w:t>
      </w:r>
    </w:p>
    <w:p w14:paraId="1BDDEF22" w14:textId="77777777" w:rsidR="00EC724A" w:rsidRPr="00EC724A" w:rsidRDefault="00EC724A" w:rsidP="00EC724A">
      <w:pPr>
        <w:numPr>
          <w:ilvl w:val="0"/>
          <w:numId w:val="1"/>
        </w:numPr>
        <w:shd w:val="clear" w:color="auto" w:fill="FFFFFF"/>
        <w:spacing w:before="100" w:beforeAutospacing="1"/>
        <w:rPr>
          <w:rFonts w:ascii="Open Sans" w:eastAsia="Times New Roman" w:hAnsi="Open Sans" w:cs="Open Sans"/>
          <w:color w:val="262626"/>
          <w:kern w:val="0"/>
          <w14:ligatures w14:val="none"/>
        </w:rPr>
      </w:pPr>
      <w:r w:rsidRPr="00EC724A">
        <w:rPr>
          <w:rFonts w:ascii="Open Sans" w:eastAsia="Times New Roman" w:hAnsi="Open Sans" w:cs="Open Sans"/>
          <w:color w:val="262626"/>
          <w:kern w:val="0"/>
          <w14:ligatures w14:val="none"/>
        </w:rPr>
        <w:t>If a person qualifies for Medicare based on disability, and the group health plan is based on a family member’s current employment (other than a spouse’s employment), the employer offering the plan must have 100 or more employees. People who qualify for Medicare based on a disability may be eligible for an SEP based on their spouse’s current employment, or if a family member’s current employer has 100 or more employees.</w:t>
      </w:r>
    </w:p>
    <w:p w14:paraId="2C2B9E14" w14:textId="77777777" w:rsidR="00EC724A" w:rsidRPr="00EC724A" w:rsidRDefault="00EC724A" w:rsidP="00EC724A">
      <w:pPr>
        <w:shd w:val="clear" w:color="auto" w:fill="FFFFFF"/>
        <w:spacing w:before="240" w:after="240"/>
        <w:rPr>
          <w:rFonts w:ascii="Open Sans" w:eastAsia="Times New Roman" w:hAnsi="Open Sans" w:cs="Open Sans"/>
          <w:color w:val="262626"/>
          <w:kern w:val="0"/>
          <w14:ligatures w14:val="none"/>
        </w:rPr>
      </w:pPr>
      <w:r w:rsidRPr="00EC724A">
        <w:rPr>
          <w:rFonts w:ascii="Open Sans" w:eastAsia="Times New Roman" w:hAnsi="Open Sans" w:cs="Open Sans"/>
          <w:b/>
          <w:bCs/>
          <w:color w:val="262626"/>
          <w:kern w:val="0"/>
          <w14:ligatures w14:val="none"/>
        </w:rPr>
        <w:lastRenderedPageBreak/>
        <w:t>4. Determining whether a person qualifies for a Special Enrollment Period Related to Coverage Under Group Health Plans is an important factor to consider when making the decision about Part B enrollment.</w:t>
      </w:r>
    </w:p>
    <w:p w14:paraId="205C3DFC" w14:textId="77777777" w:rsidR="00EC724A" w:rsidRPr="00EC724A" w:rsidRDefault="00EC724A" w:rsidP="00EC724A">
      <w:pPr>
        <w:shd w:val="clear" w:color="auto" w:fill="FFFFFF"/>
        <w:spacing w:before="240" w:after="240"/>
        <w:rPr>
          <w:rFonts w:ascii="Open Sans" w:eastAsia="Times New Roman" w:hAnsi="Open Sans" w:cs="Open Sans"/>
          <w:color w:val="262626"/>
          <w:kern w:val="0"/>
          <w14:ligatures w14:val="none"/>
        </w:rPr>
      </w:pPr>
      <w:r w:rsidRPr="00EC724A">
        <w:rPr>
          <w:rFonts w:ascii="Open Sans" w:eastAsia="Times New Roman" w:hAnsi="Open Sans" w:cs="Open Sans"/>
          <w:color w:val="262626"/>
          <w:kern w:val="0"/>
          <w14:ligatures w14:val="none"/>
        </w:rPr>
        <w:t>It’s critical that employees and their dependents consider whether Part B is right for them when they’re first eligible for Medicare. Decisions about signing up for Part B for people with employer–based insurance first depends on whether a person has insurance based on current employment.</w:t>
      </w:r>
    </w:p>
    <w:p w14:paraId="0DC2A26C" w14:textId="77777777" w:rsidR="00EC724A" w:rsidRPr="00EC724A" w:rsidRDefault="00EC724A" w:rsidP="00EC724A">
      <w:pPr>
        <w:shd w:val="clear" w:color="auto" w:fill="FFFFFF"/>
        <w:spacing w:before="240" w:after="240"/>
        <w:rPr>
          <w:rFonts w:ascii="Open Sans" w:eastAsia="Times New Roman" w:hAnsi="Open Sans" w:cs="Open Sans"/>
          <w:color w:val="262626"/>
          <w:kern w:val="0"/>
          <w14:ligatures w14:val="none"/>
        </w:rPr>
      </w:pPr>
      <w:r w:rsidRPr="00EC724A">
        <w:rPr>
          <w:rFonts w:ascii="Open Sans" w:eastAsia="Times New Roman" w:hAnsi="Open Sans" w:cs="Open Sans"/>
          <w:color w:val="262626"/>
          <w:kern w:val="0"/>
          <w14:ligatures w14:val="none"/>
        </w:rPr>
        <w:t xml:space="preserve">Generally, if a person (or their spouse) is still working and has employer-sponsored group health plan coverage based on that employment, they can delay enrollment in Part B until a Special Enrollment Period. </w:t>
      </w:r>
      <w:proofErr w:type="gramStart"/>
      <w:r w:rsidRPr="00EC724A">
        <w:rPr>
          <w:rFonts w:ascii="Open Sans" w:eastAsia="Times New Roman" w:hAnsi="Open Sans" w:cs="Open Sans"/>
          <w:color w:val="262626"/>
          <w:kern w:val="0"/>
          <w14:ligatures w14:val="none"/>
        </w:rPr>
        <w:t>But,</w:t>
      </w:r>
      <w:proofErr w:type="gramEnd"/>
      <w:r w:rsidRPr="00EC724A">
        <w:rPr>
          <w:rFonts w:ascii="Open Sans" w:eastAsia="Times New Roman" w:hAnsi="Open Sans" w:cs="Open Sans"/>
          <w:color w:val="262626"/>
          <w:kern w:val="0"/>
          <w14:ligatures w14:val="none"/>
        </w:rPr>
        <w:t xml:space="preserve"> there are special rules for qualifying for the SEP Related to Coverage Under Group Health Plans.  </w:t>
      </w:r>
    </w:p>
    <w:p w14:paraId="7EDDD3B6" w14:textId="77777777" w:rsidR="00EC724A" w:rsidRPr="00EC724A" w:rsidRDefault="00EC724A" w:rsidP="00EC724A">
      <w:pPr>
        <w:shd w:val="clear" w:color="auto" w:fill="FFFFFF"/>
        <w:spacing w:before="240" w:after="240"/>
        <w:rPr>
          <w:rFonts w:ascii="Open Sans" w:eastAsia="Times New Roman" w:hAnsi="Open Sans" w:cs="Open Sans"/>
          <w:color w:val="262626"/>
          <w:kern w:val="0"/>
          <w14:ligatures w14:val="none"/>
        </w:rPr>
      </w:pPr>
      <w:r w:rsidRPr="00EC724A">
        <w:rPr>
          <w:rFonts w:ascii="Open Sans" w:eastAsia="Times New Roman" w:hAnsi="Open Sans" w:cs="Open Sans"/>
          <w:color w:val="262626"/>
          <w:kern w:val="0"/>
          <w14:ligatures w14:val="none"/>
        </w:rPr>
        <w:t xml:space="preserve">COBRA allows people to temporarily keep employer or union coverage after their employment ends or after they lose coverage as a dependent of the covered employee. A person with COBRA who doesn’t sign up for Medicare when first eligible may have to pay a life-long late enrollment penalty. Since COBRA coverage isn’t </w:t>
      </w:r>
      <w:proofErr w:type="gramStart"/>
      <w:r w:rsidRPr="00EC724A">
        <w:rPr>
          <w:rFonts w:ascii="Open Sans" w:eastAsia="Times New Roman" w:hAnsi="Open Sans" w:cs="Open Sans"/>
          <w:color w:val="262626"/>
          <w:kern w:val="0"/>
          <w14:ligatures w14:val="none"/>
        </w:rPr>
        <w:t>considered</w:t>
      </w:r>
      <w:proofErr w:type="gramEnd"/>
      <w:r w:rsidRPr="00EC724A">
        <w:rPr>
          <w:rFonts w:ascii="Open Sans" w:eastAsia="Times New Roman" w:hAnsi="Open Sans" w:cs="Open Sans"/>
          <w:color w:val="262626"/>
          <w:kern w:val="0"/>
          <w14:ligatures w14:val="none"/>
        </w:rPr>
        <w:t xml:space="preserve"> coverage based on current employment, they won’t qualify for the SEP Related to Coverage Under Group Health Plans after their COBRA coverage ends.</w:t>
      </w:r>
    </w:p>
    <w:p w14:paraId="1F0FDC17" w14:textId="77777777" w:rsidR="00EC724A" w:rsidRPr="00EC724A" w:rsidRDefault="00EC724A" w:rsidP="00EC724A">
      <w:pPr>
        <w:shd w:val="clear" w:color="auto" w:fill="FFFFFF"/>
        <w:spacing w:before="240" w:after="240"/>
        <w:rPr>
          <w:rFonts w:ascii="Open Sans" w:eastAsia="Times New Roman" w:hAnsi="Open Sans" w:cs="Open Sans"/>
          <w:color w:val="262626"/>
          <w:kern w:val="0"/>
          <w14:ligatures w14:val="none"/>
        </w:rPr>
      </w:pPr>
      <w:r w:rsidRPr="00EC724A">
        <w:rPr>
          <w:rFonts w:ascii="Open Sans" w:eastAsia="Times New Roman" w:hAnsi="Open Sans" w:cs="Open Sans"/>
          <w:color w:val="262626"/>
          <w:kern w:val="0"/>
          <w14:ligatures w14:val="none"/>
        </w:rPr>
        <w:t>It’s important for people to sign up for Medicare, if they’re eligible, as soon as their employment ends. A person who’s eligible for Medicare, but gets COBRA coverage instead, may be responsible for significant bills. </w:t>
      </w:r>
    </w:p>
    <w:p w14:paraId="3E7B1248" w14:textId="77777777" w:rsidR="00EC724A" w:rsidRPr="00EC724A" w:rsidRDefault="00EC724A" w:rsidP="00EC724A">
      <w:pPr>
        <w:shd w:val="clear" w:color="auto" w:fill="FFFFFF"/>
        <w:spacing w:before="240" w:after="240"/>
        <w:rPr>
          <w:rFonts w:ascii="Open Sans" w:eastAsia="Times New Roman" w:hAnsi="Open Sans" w:cs="Open Sans"/>
          <w:color w:val="262626"/>
          <w:kern w:val="0"/>
          <w14:ligatures w14:val="none"/>
        </w:rPr>
      </w:pPr>
      <w:r w:rsidRPr="00EC724A">
        <w:rPr>
          <w:rFonts w:ascii="Open Sans" w:eastAsia="Times New Roman" w:hAnsi="Open Sans" w:cs="Open Sans"/>
          <w:b/>
          <w:bCs/>
          <w:color w:val="262626"/>
          <w:kern w:val="0"/>
          <w14:ligatures w14:val="none"/>
        </w:rPr>
        <w:t>5. Knowing who pays first is another important factor to consider when deciding when to sign up for Part B.</w:t>
      </w:r>
    </w:p>
    <w:p w14:paraId="12792947" w14:textId="77777777" w:rsidR="00EC724A" w:rsidRPr="00EC724A" w:rsidRDefault="00EC724A" w:rsidP="00EC724A">
      <w:pPr>
        <w:shd w:val="clear" w:color="auto" w:fill="FFFFFF"/>
        <w:spacing w:before="240" w:after="240"/>
        <w:rPr>
          <w:rFonts w:ascii="Open Sans" w:eastAsia="Times New Roman" w:hAnsi="Open Sans" w:cs="Open Sans"/>
          <w:color w:val="262626"/>
          <w:kern w:val="0"/>
          <w14:ligatures w14:val="none"/>
        </w:rPr>
      </w:pPr>
      <w:r w:rsidRPr="00EC724A">
        <w:rPr>
          <w:rFonts w:ascii="Open Sans" w:eastAsia="Times New Roman" w:hAnsi="Open Sans" w:cs="Open Sans"/>
          <w:color w:val="262626"/>
          <w:kern w:val="0"/>
          <w14:ligatures w14:val="none"/>
        </w:rPr>
        <w:t>When Medicare and another health insurance plan are responsible for paying the same medical claim, </w:t>
      </w:r>
      <w:hyperlink r:id="rId16" w:tooltip="Coordination of Benefits &amp; Recovery Overview" w:history="1">
        <w:r w:rsidRPr="00EC724A">
          <w:rPr>
            <w:rFonts w:ascii="Open Sans" w:eastAsia="Times New Roman" w:hAnsi="Open Sans" w:cs="Open Sans"/>
            <w:color w:val="0000FF"/>
            <w:kern w:val="0"/>
            <w:u w:val="single"/>
            <w14:ligatures w14:val="none"/>
          </w:rPr>
          <w:t>coordination of benefits</w:t>
        </w:r>
      </w:hyperlink>
      <w:r w:rsidRPr="00EC724A">
        <w:rPr>
          <w:rFonts w:ascii="Open Sans" w:eastAsia="Times New Roman" w:hAnsi="Open Sans" w:cs="Open Sans"/>
          <w:color w:val="262626"/>
          <w:kern w:val="0"/>
          <w14:ligatures w14:val="none"/>
        </w:rPr>
        <w:t> rules determine how Medicare works with other health coverage. When someone is considering delaying or declining Part B, it’s important for them to know:</w:t>
      </w:r>
    </w:p>
    <w:p w14:paraId="4D314975" w14:textId="77777777" w:rsidR="00EC724A" w:rsidRPr="00EC724A" w:rsidRDefault="00EC724A" w:rsidP="00EC724A">
      <w:pPr>
        <w:numPr>
          <w:ilvl w:val="0"/>
          <w:numId w:val="2"/>
        </w:numPr>
        <w:shd w:val="clear" w:color="auto" w:fill="FFFFFF"/>
        <w:spacing w:before="100" w:beforeAutospacing="1" w:after="100" w:afterAutospacing="1"/>
        <w:rPr>
          <w:rFonts w:ascii="Open Sans" w:eastAsia="Times New Roman" w:hAnsi="Open Sans" w:cs="Open Sans"/>
          <w:color w:val="262626"/>
          <w:kern w:val="0"/>
          <w14:ligatures w14:val="none"/>
        </w:rPr>
      </w:pPr>
      <w:r w:rsidRPr="00EC724A">
        <w:rPr>
          <w:rFonts w:ascii="Open Sans" w:eastAsia="Times New Roman" w:hAnsi="Open Sans" w:cs="Open Sans"/>
          <w:color w:val="262626"/>
          <w:kern w:val="0"/>
          <w14:ligatures w14:val="none"/>
        </w:rPr>
        <w:t>Whether their employer-sponsored group health plan coverage will pay first and,</w:t>
      </w:r>
    </w:p>
    <w:p w14:paraId="76DBDDF9" w14:textId="77777777" w:rsidR="00EC724A" w:rsidRPr="00EC724A" w:rsidRDefault="00EC724A" w:rsidP="00EC724A">
      <w:pPr>
        <w:numPr>
          <w:ilvl w:val="0"/>
          <w:numId w:val="2"/>
        </w:numPr>
        <w:shd w:val="clear" w:color="auto" w:fill="FFFFFF"/>
        <w:spacing w:before="100" w:beforeAutospacing="1"/>
        <w:rPr>
          <w:rFonts w:ascii="Open Sans" w:eastAsia="Times New Roman" w:hAnsi="Open Sans" w:cs="Open Sans"/>
          <w:color w:val="262626"/>
          <w:kern w:val="0"/>
          <w14:ligatures w14:val="none"/>
        </w:rPr>
      </w:pPr>
      <w:r w:rsidRPr="00EC724A">
        <w:rPr>
          <w:rFonts w:ascii="Open Sans" w:eastAsia="Times New Roman" w:hAnsi="Open Sans" w:cs="Open Sans"/>
          <w:color w:val="262626"/>
          <w:kern w:val="0"/>
          <w14:ligatures w14:val="none"/>
        </w:rPr>
        <w:t>If their employer-sponsored group health plan pays after Medicare, whether and how it will pay if the person doesn’t sign up for Part A and/or Part B.</w:t>
      </w:r>
    </w:p>
    <w:p w14:paraId="6BDF9CCE" w14:textId="77777777" w:rsidR="00EC724A" w:rsidRPr="00EC724A" w:rsidRDefault="00EC724A" w:rsidP="00EC724A">
      <w:pPr>
        <w:shd w:val="clear" w:color="auto" w:fill="FFFFFF"/>
        <w:spacing w:before="240" w:after="240"/>
        <w:rPr>
          <w:rFonts w:ascii="Open Sans" w:eastAsia="Times New Roman" w:hAnsi="Open Sans" w:cs="Open Sans"/>
          <w:color w:val="262626"/>
          <w:kern w:val="0"/>
          <w14:ligatures w14:val="none"/>
        </w:rPr>
      </w:pPr>
      <w:r w:rsidRPr="00EC724A">
        <w:rPr>
          <w:rFonts w:ascii="Open Sans" w:eastAsia="Times New Roman" w:hAnsi="Open Sans" w:cs="Open Sans"/>
          <w:b/>
          <w:bCs/>
          <w:color w:val="262626"/>
          <w:kern w:val="0"/>
          <w14:ligatures w14:val="none"/>
        </w:rPr>
        <w:t>Note</w:t>
      </w:r>
      <w:r w:rsidRPr="00EC724A">
        <w:rPr>
          <w:rFonts w:ascii="Open Sans" w:eastAsia="Times New Roman" w:hAnsi="Open Sans" w:cs="Open Sans"/>
          <w:color w:val="262626"/>
          <w:kern w:val="0"/>
          <w14:ligatures w14:val="none"/>
        </w:rPr>
        <w:t xml:space="preserve">: Most retiree and small employer plans (with less than 20 employees) require people to sign up for Part A and Part B as soon as they’re eligible.  If the retiree plan </w:t>
      </w:r>
      <w:r w:rsidRPr="00EC724A">
        <w:rPr>
          <w:rFonts w:ascii="Open Sans" w:eastAsia="Times New Roman" w:hAnsi="Open Sans" w:cs="Open Sans"/>
          <w:color w:val="262626"/>
          <w:kern w:val="0"/>
          <w14:ligatures w14:val="none"/>
        </w:rPr>
        <w:lastRenderedPageBreak/>
        <w:t>you offer requires Medicare enrollment, please tell your employees planning to retire well in advance. If someone doesn’t sign up for Part B when first eligible, they may have to pay late enrollment penalties, in addition to the standard Part B premium amount, for as long as they have Part B. They also may experience periods when they have limited or no health coverage.</w:t>
      </w:r>
    </w:p>
    <w:p w14:paraId="7C8F74B5" w14:textId="77777777" w:rsidR="00EC724A" w:rsidRPr="00EC724A" w:rsidRDefault="00EC724A" w:rsidP="00EC724A">
      <w:pPr>
        <w:rPr>
          <w:rFonts w:ascii="Times New Roman" w:eastAsia="Times New Roman" w:hAnsi="Times New Roman" w:cs="Times New Roman"/>
          <w:kern w:val="0"/>
          <w14:ligatures w14:val="none"/>
        </w:rPr>
      </w:pPr>
    </w:p>
    <w:p w14:paraId="0C37FD17" w14:textId="77777777" w:rsidR="00EC724A" w:rsidRDefault="00EC724A"/>
    <w:sectPr w:rsidR="00EC7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ar(--font-lexend)">
    <w:altName w:val="Cambria"/>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D2CB2"/>
    <w:multiLevelType w:val="multilevel"/>
    <w:tmpl w:val="BF6A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DE5505"/>
    <w:multiLevelType w:val="multilevel"/>
    <w:tmpl w:val="E818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5467248">
    <w:abstractNumId w:val="1"/>
  </w:num>
  <w:num w:numId="2" w16cid:durableId="1556240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24A"/>
    <w:rsid w:val="00EC7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D24DCF"/>
  <w15:chartTrackingRefBased/>
  <w15:docId w15:val="{234E6A45-E513-C240-AB52-9E9F3B51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eld">
    <w:name w:val="field"/>
    <w:basedOn w:val="DefaultParagraphFont"/>
    <w:rsid w:val="00EC724A"/>
  </w:style>
  <w:style w:type="paragraph" w:styleId="NormalWeb">
    <w:name w:val="Normal (Web)"/>
    <w:basedOn w:val="Normal"/>
    <w:uiPriority w:val="99"/>
    <w:semiHidden/>
    <w:unhideWhenUsed/>
    <w:rsid w:val="00EC724A"/>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C724A"/>
    <w:rPr>
      <w:b/>
      <w:bCs/>
    </w:rPr>
  </w:style>
  <w:style w:type="character" w:styleId="Hyperlink">
    <w:name w:val="Hyperlink"/>
    <w:basedOn w:val="DefaultParagraphFont"/>
    <w:uiPriority w:val="99"/>
    <w:semiHidden/>
    <w:unhideWhenUsed/>
    <w:rsid w:val="00EC724A"/>
    <w:rPr>
      <w:color w:val="0000FF"/>
      <w:u w:val="single"/>
    </w:rPr>
  </w:style>
  <w:style w:type="paragraph" w:customStyle="1" w:styleId="default">
    <w:name w:val="default"/>
    <w:basedOn w:val="Normal"/>
    <w:rsid w:val="00EC724A"/>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78575">
      <w:bodyDiv w:val="1"/>
      <w:marLeft w:val="0"/>
      <w:marRight w:val="0"/>
      <w:marTop w:val="0"/>
      <w:marBottom w:val="0"/>
      <w:divBdr>
        <w:top w:val="none" w:sz="0" w:space="0" w:color="auto"/>
        <w:left w:val="none" w:sz="0" w:space="0" w:color="auto"/>
        <w:bottom w:val="none" w:sz="0" w:space="0" w:color="auto"/>
        <w:right w:val="none" w:sz="0" w:space="0" w:color="auto"/>
      </w:divBdr>
      <w:divsChild>
        <w:div w:id="193420029">
          <w:marLeft w:val="0"/>
          <w:marRight w:val="0"/>
          <w:marTop w:val="0"/>
          <w:marBottom w:val="0"/>
          <w:divBdr>
            <w:top w:val="none" w:sz="0" w:space="0" w:color="auto"/>
            <w:left w:val="none" w:sz="0" w:space="0" w:color="auto"/>
            <w:bottom w:val="none" w:sz="0" w:space="0" w:color="auto"/>
            <w:right w:val="none" w:sz="0" w:space="0" w:color="auto"/>
          </w:divBdr>
          <w:divsChild>
            <w:div w:id="2113041456">
              <w:marLeft w:val="0"/>
              <w:marRight w:val="0"/>
              <w:marTop w:val="0"/>
              <w:marBottom w:val="0"/>
              <w:divBdr>
                <w:top w:val="none" w:sz="0" w:space="0" w:color="auto"/>
                <w:left w:val="none" w:sz="0" w:space="0" w:color="auto"/>
                <w:bottom w:val="none" w:sz="0" w:space="0" w:color="auto"/>
                <w:right w:val="none" w:sz="0" w:space="0" w:color="auto"/>
              </w:divBdr>
            </w:div>
          </w:divsChild>
        </w:div>
        <w:div w:id="547643339">
          <w:marLeft w:val="0"/>
          <w:marRight w:val="0"/>
          <w:marTop w:val="480"/>
          <w:marBottom w:val="0"/>
          <w:divBdr>
            <w:top w:val="none" w:sz="0" w:space="0" w:color="auto"/>
            <w:left w:val="none" w:sz="0" w:space="0" w:color="auto"/>
            <w:bottom w:val="none" w:sz="0" w:space="0" w:color="auto"/>
            <w:right w:val="none" w:sz="0" w:space="0" w:color="auto"/>
          </w:divBdr>
          <w:divsChild>
            <w:div w:id="747726809">
              <w:marLeft w:val="0"/>
              <w:marRight w:val="0"/>
              <w:marTop w:val="0"/>
              <w:marBottom w:val="0"/>
              <w:divBdr>
                <w:top w:val="none" w:sz="0" w:space="0" w:color="auto"/>
                <w:left w:val="none" w:sz="0" w:space="0" w:color="auto"/>
                <w:bottom w:val="none" w:sz="0" w:space="0" w:color="auto"/>
                <w:right w:val="none" w:sz="0" w:space="0" w:color="auto"/>
              </w:divBdr>
              <w:divsChild>
                <w:div w:id="2042978175">
                  <w:marLeft w:val="0"/>
                  <w:marRight w:val="0"/>
                  <w:marTop w:val="0"/>
                  <w:marBottom w:val="0"/>
                  <w:divBdr>
                    <w:top w:val="none" w:sz="0" w:space="0" w:color="auto"/>
                    <w:left w:val="none" w:sz="0" w:space="0" w:color="auto"/>
                    <w:bottom w:val="none" w:sz="0" w:space="0" w:color="auto"/>
                    <w:right w:val="none" w:sz="0" w:space="0" w:color="auto"/>
                  </w:divBdr>
                  <w:divsChild>
                    <w:div w:id="51396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are.gov/what-medicare-covers/part-b/what-medicare-part-b-covers.html" TargetMode="External"/><Relationship Id="rId13" Type="http://schemas.openxmlformats.org/officeDocument/2006/relationships/hyperlink" Target="https://www.medicare.gov/sign-up-change-plans/get-parts-a-and-b/when-sign-up-parts-a-and-b/when-sign-up-parts-a-and-b.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dicare.gov/what-medicare-covers/part-a/what-part-a-covers.html" TargetMode="External"/><Relationship Id="rId12" Type="http://schemas.openxmlformats.org/officeDocument/2006/relationships/hyperlink" Target="https://www.cms.gov/Medicare/CMS-Forms/CMS-Forms/Downloads/CMS40B-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ms.gov/medicare/coordination-of-benefits-and-recovery/coordination-of-benefits-and-recovery-overview/overview" TargetMode="External"/><Relationship Id="rId1" Type="http://schemas.openxmlformats.org/officeDocument/2006/relationships/numbering" Target="numbering.xml"/><Relationship Id="rId6" Type="http://schemas.openxmlformats.org/officeDocument/2006/relationships/hyperlink" Target="https://www.medicare.gov/people-like-me/esrd/getting-medicare-with-esrd.html" TargetMode="External"/><Relationship Id="rId11" Type="http://schemas.openxmlformats.org/officeDocument/2006/relationships/hyperlink" Target="https://www.cms.gov/Medicare/CMS-Forms/CMS-Forms/CMS-Forms-Items/CMS017339" TargetMode="External"/><Relationship Id="rId5" Type="http://schemas.openxmlformats.org/officeDocument/2006/relationships/hyperlink" Target="https://rrb.gov/" TargetMode="External"/><Relationship Id="rId15" Type="http://schemas.openxmlformats.org/officeDocument/2006/relationships/hyperlink" Target="https://www.medicare.gov/basics/get-started-with-medicare/get-more-coverage/joining-a-plan/special-enrollment-periods" TargetMode="External"/><Relationship Id="rId10" Type="http://schemas.openxmlformats.org/officeDocument/2006/relationships/hyperlink" Target="https://www.ssa.gov/agency/contact/" TargetMode="External"/><Relationship Id="rId4" Type="http://schemas.openxmlformats.org/officeDocument/2006/relationships/webSettings" Target="webSettings.xml"/><Relationship Id="rId9" Type="http://schemas.openxmlformats.org/officeDocument/2006/relationships/hyperlink" Target="https://www.cms.gov/files/document/cms-18f5.pdf" TargetMode="External"/><Relationship Id="rId14" Type="http://schemas.openxmlformats.org/officeDocument/2006/relationships/hyperlink" Target="https://www.medicare.gov/Pubs/pdf/11036-Enrolling-Part-A-Part-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1279</Words>
  <Characters>7292</Characters>
  <Application>Microsoft Office Word</Application>
  <DocSecurity>0</DocSecurity>
  <Lines>60</Lines>
  <Paragraphs>17</Paragraphs>
  <ScaleCrop>false</ScaleCrop>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ledoux</dc:creator>
  <cp:keywords/>
  <dc:description/>
  <cp:lastModifiedBy>keith ledoux</cp:lastModifiedBy>
  <cp:revision>1</cp:revision>
  <dcterms:created xsi:type="dcterms:W3CDTF">2024-02-23T16:10:00Z</dcterms:created>
  <dcterms:modified xsi:type="dcterms:W3CDTF">2024-02-23T16:13:00Z</dcterms:modified>
</cp:coreProperties>
</file>