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7585" w14:textId="10605E5F" w:rsidR="00377AD4" w:rsidRDefault="00377AD4" w:rsidP="00377AD4">
      <w:pPr>
        <w:spacing w:after="0" w:line="240" w:lineRule="auto"/>
        <w:jc w:val="center"/>
        <w:rPr>
          <w:rFonts w:ascii="Times New Roman" w:eastAsia="Times New Roman" w:hAnsi="Times New Roman" w:cs="Times New Roman"/>
          <w:b/>
          <w:bCs/>
          <w:i/>
          <w:iCs/>
          <w:color w:val="000000"/>
          <w:kern w:val="0"/>
          <w:sz w:val="40"/>
          <w:szCs w:val="40"/>
          <w:bdr w:val="none" w:sz="0" w:space="0" w:color="auto" w:frame="1"/>
          <w14:ligatures w14:val="none"/>
        </w:rPr>
      </w:pPr>
      <w:r>
        <w:fldChar w:fldCharType="begin"/>
      </w:r>
      <w:r>
        <w:instrText xml:space="preserve"> INCLUDEPICTURE "https://static.wixstatic.com/media/b770e8_209491b22c9e46d6888ccd1346c93cd3~mv2.png/v1/fill/w_372,h_100,al_c,q_85,usm_0.66_1.00_0.01,enc_avif,quality_auto/b770e8_209491b22c9e46d6888ccd1346c93cd3~mv2.png" \* MERGEFORMATINET </w:instrText>
      </w:r>
      <w:r>
        <w:fldChar w:fldCharType="separate"/>
      </w:r>
      <w:r>
        <w:rPr>
          <w:noProof/>
        </w:rPr>
        <w:drawing>
          <wp:inline distT="0" distB="0" distL="0" distR="0" wp14:anchorId="2AEA5F97" wp14:editId="5C112499">
            <wp:extent cx="4726305" cy="1273810"/>
            <wp:effectExtent l="0" t="0" r="0" b="0"/>
            <wp:docPr id="1415385842" name="Picture 5"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85842" name="Picture 5" descr="A blue and white sign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6305" cy="1273810"/>
                    </a:xfrm>
                    <a:prstGeom prst="rect">
                      <a:avLst/>
                    </a:prstGeom>
                    <a:noFill/>
                    <a:ln>
                      <a:noFill/>
                    </a:ln>
                  </pic:spPr>
                </pic:pic>
              </a:graphicData>
            </a:graphic>
          </wp:inline>
        </w:drawing>
      </w:r>
      <w:r>
        <w:fldChar w:fldCharType="end"/>
      </w:r>
      <w:r>
        <w:fldChar w:fldCharType="begin"/>
      </w:r>
      <w:r>
        <w:instrText xml:space="preserve"> INCLUDEPICTURE "https://attachments.office.net/owa/Keith%40abacus-ins.com/service.svc/s/GetAttachmentThumbnail?id=AAkALgAAAAAAHYQDEapmEc2byACqAC%2FEWg0AOucRAZVDc06YoPHZPq216AACmE5pfgAAARIAEAC83pQslRXoT5CEANdvuOrx&amp;thumbnailType=2&amp;token=eyJhbGciOiJSUzI1NiIsInR5cCI6IkpXVCIsImtpZCI6IjdYWHdCNnRTc0JMbE0zMWRiWnB3LzFnTVdhTT0iLCJ4NXQiOiI3WFh3QjZ0U3NCTGxNMzFkYlpwdy8xZ01XYU09Iiwibm9uY2UiOiJYRjYzellhbU51NjdQZ29yUXFLS3dCYW5adnhkMk1ZS0RQbGxjYUdZN090ZFZHNVBuTmd4c0d1Y1d6ZjZtYmxiLTdDOEhIT3MyeHF2Y1ZRY3RpM0M2RmVOSzV5OExjQkI0LUZLUV94RmVDRWlFQm5NSUhXVldRUmNOQlh5bTF2Xzlyenp3ak54cGpXSGp3Z1E2elNacldqTVg1YjUweEp1STNjT01GU2F4T3MiLCJpc3Nsb2MiOiJCTDNQUjAxTUI2OTYzIiwic3JzbiI6NjM4OTY0NzE4NTA1MTM3NTUyfQ.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.Fi_KPFGwVG5PD8EVbcKnLiCWSkPFMuXORdB16uzKF1H8xTzIGuIh1pV3FFCWEQTlVhCNMwve7ggViMOzDhlfMVwIVpvO05aojQykTACQ957H8d-5i9mp52e0Nj2SCH6r8qPNhdlR80M7TkCO8RACcvbkgeN811cXeEBMzir6JHhNyxod4A6FKv-DqcNKg5EnKGEFGRU1-ZthD9oefwuZSTZoiYEDmbEAJmSIziqYRD6NhAhDe_VwfA0XqjejsGb3cNryLFSQnyKRc_6ofiJ28L-CWM0RJJlO22byOFI3j2KVnZoWBMD4_RsQ3jc8a8PI_p8gSIx01_-E0XOzps1zxA&amp;X-OWA-CANARY=X-OWA-CANARY_cookie_is_null_or_empty&amp;owa=outlook.office.com&amp;scriptVer=20251010001.14&amp;clientId=21C4B8DAB85E472AB1F2F472E0FD0998&amp;animation=true" \* MERGEFORMATINET </w:instrText>
      </w:r>
      <w:r>
        <w:fldChar w:fldCharType="separate"/>
      </w:r>
      <w:r>
        <w:fldChar w:fldCharType="end"/>
      </w:r>
    </w:p>
    <w:p w14:paraId="58BB49C4" w14:textId="77777777" w:rsidR="00377AD4" w:rsidRDefault="00377AD4" w:rsidP="00377AD4">
      <w:pPr>
        <w:spacing w:after="0" w:line="240" w:lineRule="auto"/>
        <w:rPr>
          <w:rFonts w:ascii="Times New Roman" w:eastAsia="Times New Roman" w:hAnsi="Times New Roman" w:cs="Times New Roman"/>
          <w:b/>
          <w:bCs/>
          <w:i/>
          <w:iCs/>
          <w:color w:val="000000"/>
          <w:kern w:val="0"/>
          <w:sz w:val="40"/>
          <w:szCs w:val="40"/>
          <w:bdr w:val="none" w:sz="0" w:space="0" w:color="auto" w:frame="1"/>
          <w14:ligatures w14:val="none"/>
        </w:rPr>
      </w:pPr>
    </w:p>
    <w:p w14:paraId="30C5933E" w14:textId="7CE83AA5" w:rsidR="00377AD4" w:rsidRPr="00377AD4" w:rsidRDefault="00377AD4" w:rsidP="00377AD4">
      <w:pPr>
        <w:spacing w:after="0" w:line="240" w:lineRule="auto"/>
        <w:rPr>
          <w:rFonts w:ascii="Times New Roman" w:eastAsia="Times New Roman" w:hAnsi="Times New Roman" w:cs="Times New Roman"/>
          <w:b/>
          <w:bCs/>
          <w:i/>
          <w:iCs/>
          <w:color w:val="000000"/>
          <w:kern w:val="0"/>
          <w:sz w:val="36"/>
          <w:szCs w:val="36"/>
          <w:bdr w:val="none" w:sz="0" w:space="0" w:color="auto" w:frame="1"/>
          <w14:ligatures w14:val="none"/>
        </w:rPr>
      </w:pPr>
      <w:r w:rsidRPr="00377AD4">
        <w:rPr>
          <w:rFonts w:ascii="Times New Roman" w:eastAsia="Times New Roman" w:hAnsi="Times New Roman" w:cs="Times New Roman"/>
          <w:b/>
          <w:bCs/>
          <w:i/>
          <w:iCs/>
          <w:color w:val="000000"/>
          <w:kern w:val="0"/>
          <w:sz w:val="36"/>
          <w:szCs w:val="36"/>
          <w:bdr w:val="none" w:sz="0" w:space="0" w:color="auto" w:frame="1"/>
          <w14:ligatures w14:val="none"/>
        </w:rPr>
        <w:t>Medicare News 2026- Insights from Abacus Insurance, Inc.</w:t>
      </w:r>
    </w:p>
    <w:p w14:paraId="7FF13993" w14:textId="77777777" w:rsidR="00377AD4" w:rsidRDefault="00377AD4" w:rsidP="00377AD4">
      <w:pPr>
        <w:spacing w:after="0" w:line="240" w:lineRule="auto"/>
        <w:rPr>
          <w:rFonts w:ascii="Times New Roman" w:eastAsia="Times New Roman" w:hAnsi="Times New Roman" w:cs="Times New Roman"/>
          <w:color w:val="000000"/>
          <w:kern w:val="0"/>
          <w:sz w:val="30"/>
          <w:szCs w:val="30"/>
          <w:bdr w:val="none" w:sz="0" w:space="0" w:color="auto" w:frame="1"/>
          <w14:ligatures w14:val="none"/>
        </w:rPr>
      </w:pPr>
    </w:p>
    <w:p w14:paraId="1A6DB45F" w14:textId="6BCD7892" w:rsidR="00377AD4" w:rsidRPr="00377AD4" w:rsidRDefault="00377AD4" w:rsidP="00377AD4">
      <w:pPr>
        <w:spacing w:after="0" w:line="240" w:lineRule="auto"/>
        <w:rPr>
          <w:rFonts w:ascii="Times New Roman" w:eastAsia="Times New Roman" w:hAnsi="Times New Roman" w:cs="Times New Roman"/>
          <w:i/>
          <w:iCs/>
          <w:kern w:val="0"/>
          <w14:ligatures w14:val="none"/>
        </w:rPr>
      </w:pPr>
      <w:r w:rsidRPr="00377AD4">
        <w:rPr>
          <w:rFonts w:ascii="Times New Roman" w:eastAsia="Times New Roman" w:hAnsi="Times New Roman" w:cs="Times New Roman"/>
          <w:i/>
          <w:iCs/>
          <w:color w:val="000000"/>
          <w:kern w:val="0"/>
          <w:sz w:val="30"/>
          <w:szCs w:val="30"/>
          <w:bdr w:val="none" w:sz="0" w:space="0" w:color="auto" w:frame="1"/>
          <w14:ligatures w14:val="none"/>
        </w:rPr>
        <w:t>The reason Medicare Advantage (MA) plans are undergoing such dramatic changes in 2026 comes down to a mix of new federal policies, reimbursement formula revisions, inflation and health-care cost increases, and changes in insurer profitability. These shifts are forcing major carriers like UnitedHealth Group, Humana, Aetna, and others to restructure offerings, exit less profitable areas, and narrow benefits. Here’s why that’s happening and what it means: </w:t>
      </w:r>
      <w:r w:rsidRPr="00377AD4">
        <w:rPr>
          <w:rFonts w:ascii="Times New Roman" w:eastAsia="Times New Roman" w:hAnsi="Times New Roman" w:cs="Times New Roman"/>
          <w:i/>
          <w:iCs/>
          <w:color w:val="000000"/>
          <w:kern w:val="0"/>
          <w:sz w:val="18"/>
          <w:szCs w:val="18"/>
          <w:bdr w:val="none" w:sz="0" w:space="0" w:color="auto" w:frame="1"/>
          <w14:ligatures w14:val="none"/>
        </w:rPr>
        <w:br/>
      </w:r>
    </w:p>
    <w:p w14:paraId="01EB4F81" w14:textId="69711800" w:rsidR="00377AD4" w:rsidRPr="00377AD4" w:rsidRDefault="00377AD4" w:rsidP="00377AD4">
      <w:pPr>
        <w:spacing w:after="0" w:line="240" w:lineRule="auto"/>
        <w:rPr>
          <w:rFonts w:ascii="Times New Roman" w:eastAsia="Times New Roman" w:hAnsi="Times New Roman" w:cs="Times New Roman"/>
          <w:kern w:val="0"/>
          <w:sz w:val="32"/>
          <w:szCs w:val="32"/>
          <w14:ligatures w14:val="none"/>
        </w:rPr>
      </w:pPr>
      <w:r w:rsidRPr="00377AD4">
        <w:rPr>
          <w:rFonts w:ascii="Apple Color Emoji" w:eastAsia="Times New Roman" w:hAnsi="Apple Color Emoji" w:cs="Apple Color Emoji"/>
          <w:b/>
          <w:bCs/>
          <w:color w:val="000000"/>
          <w:kern w:val="0"/>
          <w:sz w:val="32"/>
          <w:szCs w:val="32"/>
          <w:bdr w:val="none" w:sz="0" w:space="0" w:color="auto" w:frame="1"/>
          <w14:ligatures w14:val="none"/>
        </w:rPr>
        <w:t>🏛</w:t>
      </w:r>
      <w:r w:rsidRPr="00377AD4">
        <w:rPr>
          <w:rFonts w:ascii="TimesNewRomanPS-BoldMT" w:eastAsia="Times New Roman" w:hAnsi="TimesNewRomanPS-BoldMT" w:cs="Times New Roman"/>
          <w:b/>
          <w:bCs/>
          <w:color w:val="000000"/>
          <w:kern w:val="0"/>
          <w:sz w:val="32"/>
          <w:szCs w:val="32"/>
          <w:bdr w:val="none" w:sz="0" w:space="0" w:color="auto" w:frame="1"/>
          <w14:ligatures w14:val="none"/>
        </w:rPr>
        <w:t xml:space="preserve"> 1. Major Policy Shifts and New CMS Rules</w:t>
      </w:r>
    </w:p>
    <w:p w14:paraId="60772781" w14:textId="304B4E14" w:rsidR="00377AD4" w:rsidRPr="00377AD4" w:rsidRDefault="00377AD4" w:rsidP="00377AD4">
      <w:pPr>
        <w:spacing w:after="0" w:line="240" w:lineRule="auto"/>
        <w:rPr>
          <w:rFonts w:ascii="Times New Roman" w:eastAsia="Times New Roman" w:hAnsi="Times New Roman" w:cs="Times New Roman"/>
          <w:kern w:val="0"/>
          <w14:ligatures w14:val="none"/>
        </w:rPr>
      </w:pPr>
    </w:p>
    <w:p w14:paraId="56337AE5" w14:textId="77777777" w:rsidR="00377AD4" w:rsidRPr="00377AD4" w:rsidRDefault="00377AD4" w:rsidP="00377AD4">
      <w:pPr>
        <w:numPr>
          <w:ilvl w:val="0"/>
          <w:numId w:val="1"/>
        </w:numPr>
        <w:spacing w:after="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In April 2025, Centers for Medicare &amp; Medicaid Services (CMS) finalized a sweeping overhaul of MA and Part D rules for 2026. These include:</w:t>
      </w:r>
      <w:r w:rsidRPr="00377AD4">
        <w:rPr>
          <w:rFonts w:ascii="inherit" w:eastAsia="Times New Roman" w:hAnsi="inherit" w:cs="Times New Roman"/>
          <w:color w:val="000000"/>
          <w:kern w:val="0"/>
          <w:sz w:val="18"/>
          <w:szCs w:val="18"/>
          <w:bdr w:val="none" w:sz="0" w:space="0" w:color="auto" w:frame="1"/>
          <w14:ligatures w14:val="none"/>
        </w:rPr>
        <w:br/>
      </w:r>
    </w:p>
    <w:p w14:paraId="0FFE86C6" w14:textId="71A32659" w:rsidR="00377AD4" w:rsidRPr="00377AD4" w:rsidRDefault="00377AD4" w:rsidP="00377AD4">
      <w:pPr>
        <w:numPr>
          <w:ilvl w:val="1"/>
          <w:numId w:val="1"/>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Risk-adjustment changes: CMS is finalizing a three-year phase-in of updates to how insurers are paid, adjusting for patient health status and reducing costs attributed to medical education.</w:t>
      </w:r>
    </w:p>
    <w:p w14:paraId="32851CC4" w14:textId="31B115EE" w:rsidR="00377AD4" w:rsidRPr="00377AD4" w:rsidRDefault="00377AD4" w:rsidP="00377AD4">
      <w:pPr>
        <w:numPr>
          <w:ilvl w:val="1"/>
          <w:numId w:val="1"/>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Benefit restrictions: New rules ban non-health-related perks (such as utility bill credits) from being offered as part of Special Supplemental Benefits for the Chronically Ill (SSBCI), and many plans will trim or drop non-medical perks (health food, transportation) entirely.</w:t>
      </w:r>
    </w:p>
    <w:p w14:paraId="122CA71F" w14:textId="1D6B1FD6" w:rsidR="00377AD4" w:rsidRPr="00377AD4" w:rsidRDefault="00377AD4" w:rsidP="00377AD4">
      <w:pPr>
        <w:numPr>
          <w:ilvl w:val="1"/>
          <w:numId w:val="1"/>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Prior authorization requirements: Six states will require prior authorization for some services under Original Medicare, influencing MA plans to narrow coverage or tighten utilization controls.</w:t>
      </w:r>
    </w:p>
    <w:p w14:paraId="5613F833" w14:textId="77777777" w:rsidR="00377AD4" w:rsidRPr="00377AD4" w:rsidRDefault="00377AD4" w:rsidP="00377AD4">
      <w:pPr>
        <w:spacing w:after="0" w:line="240" w:lineRule="auto"/>
        <w:rPr>
          <w:rFonts w:ascii="Times New Roman" w:eastAsia="Times New Roman" w:hAnsi="Times New Roman" w:cs="Times New Roman"/>
          <w:kern w:val="0"/>
          <w14:ligatures w14:val="none"/>
        </w:rPr>
      </w:pPr>
      <w:r w:rsidRPr="00377AD4">
        <w:rPr>
          <w:rFonts w:ascii="Times New Roman" w:eastAsia="Times New Roman" w:hAnsi="Times New Roman" w:cs="Times New Roman"/>
          <w:color w:val="000000"/>
          <w:kern w:val="0"/>
          <w:sz w:val="18"/>
          <w:szCs w:val="18"/>
          <w:bdr w:val="none" w:sz="0" w:space="0" w:color="auto" w:frame="1"/>
          <w14:ligatures w14:val="none"/>
        </w:rPr>
        <w:lastRenderedPageBreak/>
        <w:br/>
      </w:r>
    </w:p>
    <w:p w14:paraId="57258F3F" w14:textId="77777777" w:rsidR="00377AD4" w:rsidRPr="00377AD4" w:rsidRDefault="00377AD4" w:rsidP="00377AD4">
      <w:pPr>
        <w:spacing w:after="0" w:line="240" w:lineRule="auto"/>
        <w:rPr>
          <w:rFonts w:ascii="Times New Roman" w:eastAsia="Times New Roman" w:hAnsi="Times New Roman" w:cs="Times New Roman"/>
          <w:kern w:val="0"/>
          <w14:ligatures w14:val="none"/>
        </w:rPr>
      </w:pPr>
      <w:r w:rsidRPr="00377AD4">
        <w:rPr>
          <w:rFonts w:ascii="Times New Roman" w:eastAsia="Times New Roman" w:hAnsi="Times New Roman" w:cs="Times New Roman"/>
          <w:color w:val="000000"/>
          <w:kern w:val="0"/>
          <w:sz w:val="18"/>
          <w:szCs w:val="18"/>
          <w:bdr w:val="none" w:sz="0" w:space="0" w:color="auto" w:frame="1"/>
          <w14:ligatures w14:val="none"/>
        </w:rPr>
        <w:br/>
      </w:r>
    </w:p>
    <w:p w14:paraId="59865DEA" w14:textId="1B3074A6" w:rsidR="00377AD4" w:rsidRPr="00377AD4" w:rsidRDefault="00377AD4" w:rsidP="00377AD4">
      <w:pPr>
        <w:spacing w:after="0" w:line="240" w:lineRule="auto"/>
        <w:rPr>
          <w:rFonts w:ascii="Times New Roman" w:eastAsia="Times New Roman" w:hAnsi="Times New Roman" w:cs="Times New Roman"/>
          <w:i/>
          <w:iCs/>
          <w:kern w:val="0"/>
          <w14:ligatures w14:val="none"/>
        </w:rPr>
      </w:pPr>
      <w:r w:rsidRPr="00377AD4">
        <w:rPr>
          <w:rFonts w:ascii="Times New Roman" w:eastAsia="Times New Roman" w:hAnsi="Times New Roman" w:cs="Times New Roman"/>
          <w:i/>
          <w:iCs/>
          <w:color w:val="000000"/>
          <w:kern w:val="0"/>
          <w:sz w:val="30"/>
          <w:szCs w:val="30"/>
          <w:bdr w:val="none" w:sz="0" w:space="0" w:color="auto" w:frame="1"/>
          <w14:ligatures w14:val="none"/>
        </w:rPr>
        <w:t>These regulatory changes are intended to curb “waste, fraud, and abuse,” streamline care, and standardize coverage, but they force insurers to rework plan packaging, reduce perks, and tighten networks. </w:t>
      </w:r>
      <w:r w:rsidRPr="00377AD4">
        <w:rPr>
          <w:rFonts w:ascii="Times New Roman" w:eastAsia="Times New Roman" w:hAnsi="Times New Roman" w:cs="Times New Roman"/>
          <w:i/>
          <w:iCs/>
          <w:color w:val="000000"/>
          <w:kern w:val="0"/>
          <w:sz w:val="18"/>
          <w:szCs w:val="18"/>
          <w:bdr w:val="none" w:sz="0" w:space="0" w:color="auto" w:frame="1"/>
          <w14:ligatures w14:val="none"/>
        </w:rPr>
        <w:br/>
      </w:r>
    </w:p>
    <w:p w14:paraId="12CDC8C1" w14:textId="77777777" w:rsidR="00377AD4" w:rsidRPr="00377AD4" w:rsidRDefault="00377AD4" w:rsidP="00377AD4">
      <w:pPr>
        <w:spacing w:after="0" w:line="240" w:lineRule="auto"/>
        <w:rPr>
          <w:rFonts w:ascii="Times New Roman" w:eastAsia="Times New Roman" w:hAnsi="Times New Roman" w:cs="Times New Roman"/>
          <w:kern w:val="0"/>
          <w:sz w:val="32"/>
          <w:szCs w:val="32"/>
          <w14:ligatures w14:val="none"/>
        </w:rPr>
      </w:pPr>
      <w:r w:rsidRPr="00377AD4">
        <w:rPr>
          <w:rFonts w:ascii="Apple Color Emoji" w:eastAsia="Times New Roman" w:hAnsi="Apple Color Emoji" w:cs="Apple Color Emoji"/>
          <w:b/>
          <w:bCs/>
          <w:color w:val="000000"/>
          <w:kern w:val="0"/>
          <w:sz w:val="32"/>
          <w:szCs w:val="32"/>
          <w:bdr w:val="none" w:sz="0" w:space="0" w:color="auto" w:frame="1"/>
          <w14:ligatures w14:val="none"/>
        </w:rPr>
        <w:t>💸</w:t>
      </w:r>
      <w:r w:rsidRPr="00377AD4">
        <w:rPr>
          <w:rFonts w:ascii="TimesNewRomanPS-BoldMT" w:eastAsia="Times New Roman" w:hAnsi="TimesNewRomanPS-BoldMT" w:cs="Times New Roman"/>
          <w:b/>
          <w:bCs/>
          <w:color w:val="000000"/>
          <w:kern w:val="0"/>
          <w:sz w:val="32"/>
          <w:szCs w:val="32"/>
          <w:bdr w:val="none" w:sz="0" w:space="0" w:color="auto" w:frame="1"/>
          <w14:ligatures w14:val="none"/>
        </w:rPr>
        <w:t xml:space="preserve"> 2. Drastically Lower Reimbursements and Payment Cuts</w:t>
      </w:r>
    </w:p>
    <w:p w14:paraId="11C25EC0" w14:textId="2A7C8C82" w:rsidR="00377AD4" w:rsidRPr="00377AD4" w:rsidRDefault="00377AD4" w:rsidP="00377AD4">
      <w:pPr>
        <w:spacing w:after="0" w:line="240" w:lineRule="auto"/>
        <w:rPr>
          <w:rFonts w:ascii="Times New Roman" w:eastAsia="Times New Roman" w:hAnsi="Times New Roman" w:cs="Times New Roman"/>
          <w:kern w:val="0"/>
          <w14:ligatures w14:val="none"/>
        </w:rPr>
      </w:pPr>
    </w:p>
    <w:p w14:paraId="68B9AF68" w14:textId="35DCEA21" w:rsidR="00377AD4" w:rsidRPr="00377AD4" w:rsidRDefault="00377AD4" w:rsidP="00377AD4">
      <w:pPr>
        <w:numPr>
          <w:ilvl w:val="0"/>
          <w:numId w:val="2"/>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Payments to Medicare Advantage plans will grow by about 5 % in 2026, but that’s still 20 % below what CMS paid in 2023. Insurers were counting on strong growth that didn’t materialize, shrinking profit margins significantly.</w:t>
      </w:r>
    </w:p>
    <w:p w14:paraId="368B29CF" w14:textId="77777777" w:rsidR="00377AD4" w:rsidRPr="00377AD4" w:rsidRDefault="00377AD4" w:rsidP="00377AD4">
      <w:pPr>
        <w:numPr>
          <w:ilvl w:val="0"/>
          <w:numId w:val="2"/>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The reduction in federal support, combined with higher medical inflation, hospital costs, and utilization, means many plans—especially PPOs—are no longer financially viable, prompting insurers to cut hundreds of plans or exit markets entirely.  </w:t>
      </w:r>
    </w:p>
    <w:p w14:paraId="13CFBBCD" w14:textId="743BD164" w:rsidR="00377AD4" w:rsidRPr="00377AD4" w:rsidRDefault="00377AD4" w:rsidP="00377AD4">
      <w:pPr>
        <w:numPr>
          <w:ilvl w:val="0"/>
          <w:numId w:val="2"/>
        </w:numPr>
        <w:spacing w:after="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For example, UnitedHealth plans to drop over 100 plans in 109 U.S. counties, Humana will withdraw from multiple state markets, and Aetna is shutting down nearly 90 plans in 34 states.  </w:t>
      </w:r>
    </w:p>
    <w:p w14:paraId="75870A8D" w14:textId="046A2C18" w:rsidR="00377AD4" w:rsidRPr="00377AD4" w:rsidRDefault="00377AD4" w:rsidP="00377AD4">
      <w:pPr>
        <w:spacing w:after="0" w:line="240" w:lineRule="auto"/>
        <w:rPr>
          <w:rFonts w:ascii="Times New Roman" w:eastAsia="Times New Roman" w:hAnsi="Times New Roman" w:cs="Times New Roman"/>
          <w:kern w:val="0"/>
          <w14:ligatures w14:val="none"/>
        </w:rPr>
      </w:pPr>
    </w:p>
    <w:p w14:paraId="1A1F3940" w14:textId="41AE2879" w:rsidR="00377AD4" w:rsidRPr="00377AD4" w:rsidRDefault="00377AD4" w:rsidP="00377AD4">
      <w:pPr>
        <w:spacing w:after="0" w:line="240" w:lineRule="auto"/>
        <w:rPr>
          <w:rFonts w:ascii="Times New Roman" w:eastAsia="Times New Roman" w:hAnsi="Times New Roman" w:cs="Times New Roman"/>
          <w:kern w:val="0"/>
          <w:sz w:val="32"/>
          <w:szCs w:val="32"/>
          <w14:ligatures w14:val="none"/>
        </w:rPr>
      </w:pPr>
      <w:r w:rsidRPr="00377AD4">
        <w:rPr>
          <w:rFonts w:ascii="Apple Color Emoji" w:eastAsia="Times New Roman" w:hAnsi="Apple Color Emoji" w:cs="Apple Color Emoji"/>
          <w:b/>
          <w:bCs/>
          <w:color w:val="000000"/>
          <w:kern w:val="0"/>
          <w:sz w:val="32"/>
          <w:szCs w:val="32"/>
          <w:bdr w:val="none" w:sz="0" w:space="0" w:color="auto" w:frame="1"/>
          <w14:ligatures w14:val="none"/>
        </w:rPr>
        <w:t>📉</w:t>
      </w:r>
      <w:r w:rsidRPr="00377AD4">
        <w:rPr>
          <w:rFonts w:ascii="TimesNewRomanPS-BoldMT" w:eastAsia="Times New Roman" w:hAnsi="TimesNewRomanPS-BoldMT" w:cs="Times New Roman"/>
          <w:b/>
          <w:bCs/>
          <w:color w:val="000000"/>
          <w:kern w:val="0"/>
          <w:sz w:val="32"/>
          <w:szCs w:val="32"/>
          <w:bdr w:val="none" w:sz="0" w:space="0" w:color="auto" w:frame="1"/>
          <w14:ligatures w14:val="none"/>
        </w:rPr>
        <w:t xml:space="preserve"> 3. Rising Costs and Higher Patient Out-of-Pocket Expenses</w:t>
      </w:r>
      <w:r w:rsidRPr="00377AD4">
        <w:rPr>
          <w:rFonts w:ascii="Times New Roman" w:eastAsia="Times New Roman" w:hAnsi="Times New Roman" w:cs="Times New Roman"/>
          <w:color w:val="000000"/>
          <w:kern w:val="0"/>
          <w:sz w:val="32"/>
          <w:szCs w:val="32"/>
          <w:bdr w:val="none" w:sz="0" w:space="0" w:color="auto" w:frame="1"/>
          <w14:ligatures w14:val="none"/>
        </w:rPr>
        <w:br/>
      </w:r>
    </w:p>
    <w:p w14:paraId="3AE41DB3" w14:textId="5846E260" w:rsidR="00377AD4" w:rsidRPr="00377AD4" w:rsidRDefault="00377AD4" w:rsidP="00377AD4">
      <w:pPr>
        <w:numPr>
          <w:ilvl w:val="0"/>
          <w:numId w:val="3"/>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Even though many plans will offer $0 premiums, out-of-pocket maximums are rising sharply—from $5,400 in 2025 to $5,900 in 2026, a nearly 10 % increase.</w:t>
      </w:r>
    </w:p>
    <w:p w14:paraId="5C542083" w14:textId="597B83AF" w:rsidR="00377AD4" w:rsidRPr="00377AD4" w:rsidRDefault="00377AD4" w:rsidP="00377AD4">
      <w:pPr>
        <w:numPr>
          <w:ilvl w:val="0"/>
          <w:numId w:val="3"/>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Many plans have eliminated or reduced optional extras like nutrition services and OTC benefits, shifting focus to core medical and drug coverage.</w:t>
      </w:r>
    </w:p>
    <w:p w14:paraId="22701C2E" w14:textId="254B6C03" w:rsidR="00377AD4" w:rsidRPr="00377AD4" w:rsidRDefault="00377AD4" w:rsidP="00377AD4">
      <w:pPr>
        <w:numPr>
          <w:ilvl w:val="0"/>
          <w:numId w:val="3"/>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Patients may face higher costs for Part D drugs due to formulary changes and cost-sharing redesigns under the Inflation Reduction Act.  </w:t>
      </w:r>
    </w:p>
    <w:p w14:paraId="41F5DB57" w14:textId="77777777" w:rsidR="00377AD4" w:rsidRPr="00377AD4" w:rsidRDefault="00377AD4" w:rsidP="00377AD4">
      <w:pPr>
        <w:spacing w:after="0" w:line="240" w:lineRule="auto"/>
        <w:rPr>
          <w:rFonts w:ascii="Times New Roman" w:eastAsia="Times New Roman" w:hAnsi="Times New Roman" w:cs="Times New Roman"/>
          <w:kern w:val="0"/>
          <w14:ligatures w14:val="none"/>
        </w:rPr>
      </w:pPr>
      <w:r w:rsidRPr="00377AD4">
        <w:rPr>
          <w:rFonts w:ascii="Times New Roman" w:eastAsia="Times New Roman" w:hAnsi="Times New Roman" w:cs="Times New Roman"/>
          <w:color w:val="000000"/>
          <w:kern w:val="0"/>
          <w:sz w:val="18"/>
          <w:szCs w:val="18"/>
          <w:bdr w:val="none" w:sz="0" w:space="0" w:color="auto" w:frame="1"/>
          <w14:ligatures w14:val="none"/>
        </w:rPr>
        <w:br/>
      </w:r>
    </w:p>
    <w:p w14:paraId="0FEC6F27" w14:textId="77777777" w:rsidR="00377AD4" w:rsidRPr="00377AD4" w:rsidRDefault="00377AD4" w:rsidP="00377AD4">
      <w:pPr>
        <w:spacing w:after="0" w:line="240" w:lineRule="auto"/>
        <w:rPr>
          <w:rFonts w:ascii="Times New Roman" w:eastAsia="Times New Roman" w:hAnsi="Times New Roman" w:cs="Times New Roman"/>
          <w:kern w:val="0"/>
          <w14:ligatures w14:val="none"/>
        </w:rPr>
      </w:pPr>
      <w:r w:rsidRPr="00377AD4">
        <w:rPr>
          <w:rFonts w:ascii="Times New Roman" w:eastAsia="Times New Roman" w:hAnsi="Times New Roman" w:cs="Times New Roman"/>
          <w:color w:val="000000"/>
          <w:kern w:val="0"/>
          <w:sz w:val="18"/>
          <w:szCs w:val="18"/>
          <w:bdr w:val="none" w:sz="0" w:space="0" w:color="auto" w:frame="1"/>
          <w14:ligatures w14:val="none"/>
        </w:rPr>
        <w:br/>
      </w:r>
    </w:p>
    <w:p w14:paraId="41CA9BB1" w14:textId="77777777" w:rsidR="00377AD4" w:rsidRDefault="00377AD4" w:rsidP="00377AD4">
      <w:pPr>
        <w:spacing w:after="0" w:line="240" w:lineRule="auto"/>
        <w:rPr>
          <w:rFonts w:ascii="Times New Roman" w:eastAsia="Times New Roman" w:hAnsi="Times New Roman" w:cs="Times New Roman"/>
          <w:i/>
          <w:iCs/>
          <w:color w:val="000000"/>
          <w:kern w:val="0"/>
          <w:sz w:val="30"/>
          <w:szCs w:val="30"/>
          <w:bdr w:val="none" w:sz="0" w:space="0" w:color="auto" w:frame="1"/>
          <w14:ligatures w14:val="none"/>
        </w:rPr>
      </w:pPr>
    </w:p>
    <w:p w14:paraId="7C70D6C6" w14:textId="43E84C79" w:rsidR="00377AD4" w:rsidRPr="00377AD4" w:rsidRDefault="00377AD4" w:rsidP="00377AD4">
      <w:pPr>
        <w:spacing w:after="0" w:line="240" w:lineRule="auto"/>
        <w:rPr>
          <w:rFonts w:ascii="Times New Roman" w:eastAsia="Times New Roman" w:hAnsi="Times New Roman" w:cs="Times New Roman"/>
          <w:i/>
          <w:iCs/>
          <w:kern w:val="0"/>
          <w14:ligatures w14:val="none"/>
        </w:rPr>
      </w:pPr>
      <w:r w:rsidRPr="00377AD4">
        <w:rPr>
          <w:rFonts w:ascii="Times New Roman" w:eastAsia="Times New Roman" w:hAnsi="Times New Roman" w:cs="Times New Roman"/>
          <w:i/>
          <w:iCs/>
          <w:color w:val="000000"/>
          <w:kern w:val="0"/>
          <w:sz w:val="30"/>
          <w:szCs w:val="30"/>
          <w:bdr w:val="none" w:sz="0" w:space="0" w:color="auto" w:frame="1"/>
          <w14:ligatures w14:val="none"/>
        </w:rPr>
        <w:lastRenderedPageBreak/>
        <w:t>These changes can increase annual costs for beneficiaries, even when monthly premiums appear stable or declining.</w:t>
      </w:r>
    </w:p>
    <w:p w14:paraId="777C8A8C" w14:textId="4FE24B98" w:rsidR="00377AD4" w:rsidRPr="00377AD4" w:rsidRDefault="00377AD4" w:rsidP="00377AD4">
      <w:pPr>
        <w:spacing w:after="0" w:line="240" w:lineRule="auto"/>
        <w:rPr>
          <w:rFonts w:ascii="Times New Roman" w:eastAsia="Times New Roman" w:hAnsi="Times New Roman" w:cs="Times New Roman"/>
          <w:kern w:val="0"/>
          <w14:ligatures w14:val="none"/>
        </w:rPr>
      </w:pPr>
      <w:r w:rsidRPr="00377AD4">
        <w:rPr>
          <w:rFonts w:ascii="Times New Roman" w:eastAsia="Times New Roman" w:hAnsi="Times New Roman" w:cs="Times New Roman"/>
          <w:color w:val="000000"/>
          <w:kern w:val="0"/>
          <w:sz w:val="18"/>
          <w:szCs w:val="18"/>
          <w:bdr w:val="none" w:sz="0" w:space="0" w:color="auto" w:frame="1"/>
          <w14:ligatures w14:val="none"/>
        </w:rPr>
        <w:br/>
      </w:r>
    </w:p>
    <w:p w14:paraId="7FDC1EC8" w14:textId="77777777" w:rsidR="00377AD4" w:rsidRPr="00377AD4" w:rsidRDefault="00377AD4" w:rsidP="00377AD4">
      <w:pPr>
        <w:spacing w:after="0" w:line="240" w:lineRule="auto"/>
        <w:rPr>
          <w:rFonts w:ascii="Times New Roman" w:eastAsia="Times New Roman" w:hAnsi="Times New Roman" w:cs="Times New Roman"/>
          <w:kern w:val="0"/>
          <w:sz w:val="32"/>
          <w:szCs w:val="32"/>
          <w14:ligatures w14:val="none"/>
        </w:rPr>
      </w:pPr>
      <w:r w:rsidRPr="00377AD4">
        <w:rPr>
          <w:rFonts w:ascii="Apple Color Emoji" w:eastAsia="Times New Roman" w:hAnsi="Apple Color Emoji" w:cs="Apple Color Emoji"/>
          <w:b/>
          <w:bCs/>
          <w:color w:val="000000"/>
          <w:kern w:val="0"/>
          <w:sz w:val="32"/>
          <w:szCs w:val="32"/>
          <w:bdr w:val="none" w:sz="0" w:space="0" w:color="auto" w:frame="1"/>
          <w14:ligatures w14:val="none"/>
        </w:rPr>
        <w:t>🏥</w:t>
      </w:r>
      <w:r w:rsidRPr="00377AD4">
        <w:rPr>
          <w:rFonts w:ascii="TimesNewRomanPS-BoldMT" w:eastAsia="Times New Roman" w:hAnsi="TimesNewRomanPS-BoldMT" w:cs="Times New Roman"/>
          <w:b/>
          <w:bCs/>
          <w:color w:val="000000"/>
          <w:kern w:val="0"/>
          <w:sz w:val="32"/>
          <w:szCs w:val="32"/>
          <w:bdr w:val="none" w:sz="0" w:space="0" w:color="auto" w:frame="1"/>
          <w14:ligatures w14:val="none"/>
        </w:rPr>
        <w:t xml:space="preserve"> 4. Strategic Shifts by Major Insurers</w:t>
      </w:r>
    </w:p>
    <w:p w14:paraId="225FB200" w14:textId="7100EC2C" w:rsidR="00377AD4" w:rsidRPr="00377AD4" w:rsidRDefault="00377AD4" w:rsidP="00377AD4">
      <w:pPr>
        <w:spacing w:after="0" w:line="240" w:lineRule="auto"/>
        <w:rPr>
          <w:rFonts w:ascii="Times New Roman" w:eastAsia="Times New Roman" w:hAnsi="Times New Roman" w:cs="Times New Roman"/>
          <w:kern w:val="0"/>
          <w14:ligatures w14:val="none"/>
        </w:rPr>
      </w:pPr>
    </w:p>
    <w:p w14:paraId="4C3C6172" w14:textId="6A219484" w:rsidR="00377AD4" w:rsidRPr="00377AD4" w:rsidRDefault="00377AD4" w:rsidP="00377AD4">
      <w:pPr>
        <w:numPr>
          <w:ilvl w:val="0"/>
          <w:numId w:val="4"/>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Insurance giants are refocusing on narrower-network HMOs over broad PPO models, which offer better cost control but less flexible provider access.</w:t>
      </w:r>
    </w:p>
    <w:p w14:paraId="43733C23" w14:textId="785EA92C" w:rsidR="00377AD4" w:rsidRPr="00377AD4" w:rsidRDefault="00377AD4" w:rsidP="00377AD4">
      <w:pPr>
        <w:numPr>
          <w:ilvl w:val="0"/>
          <w:numId w:val="4"/>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Some are cutting commissions to brokers, making certain plans less available and slowing growth.</w:t>
      </w:r>
    </w:p>
    <w:p w14:paraId="0CFB4B57" w14:textId="0232F7F2" w:rsidR="00377AD4" w:rsidRPr="00377AD4" w:rsidRDefault="00377AD4" w:rsidP="00377AD4">
      <w:pPr>
        <w:numPr>
          <w:ilvl w:val="0"/>
          <w:numId w:val="4"/>
        </w:numPr>
        <w:spacing w:after="18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 xml:space="preserve">Providers (especially dental and specialty networks) report reduced participation contracts, further reducing choice. </w:t>
      </w:r>
    </w:p>
    <w:p w14:paraId="30784718" w14:textId="25B2B86B" w:rsidR="00377AD4" w:rsidRPr="00377AD4" w:rsidRDefault="00377AD4" w:rsidP="00377AD4">
      <w:pPr>
        <w:spacing w:after="0" w:line="240" w:lineRule="auto"/>
        <w:rPr>
          <w:rFonts w:ascii="Times New Roman" w:eastAsia="Times New Roman" w:hAnsi="Times New Roman" w:cs="Times New Roman"/>
          <w:kern w:val="0"/>
          <w:sz w:val="32"/>
          <w:szCs w:val="32"/>
          <w14:ligatures w14:val="none"/>
        </w:rPr>
      </w:pPr>
      <w:r w:rsidRPr="00377AD4">
        <w:rPr>
          <w:rFonts w:ascii="Apple Color Emoji" w:eastAsia="Times New Roman" w:hAnsi="Apple Color Emoji" w:cs="Apple Color Emoji"/>
          <w:b/>
          <w:bCs/>
          <w:color w:val="000000"/>
          <w:kern w:val="0"/>
          <w:sz w:val="32"/>
          <w:szCs w:val="32"/>
          <w:bdr w:val="none" w:sz="0" w:space="0" w:color="auto" w:frame="1"/>
          <w14:ligatures w14:val="none"/>
        </w:rPr>
        <w:t>📊</w:t>
      </w:r>
      <w:r w:rsidRPr="00377AD4">
        <w:rPr>
          <w:rFonts w:ascii="TimesNewRomanPS-BoldMT" w:eastAsia="Times New Roman" w:hAnsi="TimesNewRomanPS-BoldMT" w:cs="Times New Roman"/>
          <w:b/>
          <w:bCs/>
          <w:color w:val="000000"/>
          <w:kern w:val="0"/>
          <w:sz w:val="32"/>
          <w:szCs w:val="32"/>
          <w:bdr w:val="none" w:sz="0" w:space="0" w:color="auto" w:frame="1"/>
          <w14:ligatures w14:val="none"/>
        </w:rPr>
        <w:t xml:space="preserve"> 5. Broader Political and Economic Influences</w:t>
      </w:r>
      <w:r w:rsidRPr="00377AD4">
        <w:rPr>
          <w:rFonts w:ascii="Times New Roman" w:eastAsia="Times New Roman" w:hAnsi="Times New Roman" w:cs="Times New Roman"/>
          <w:color w:val="000000"/>
          <w:kern w:val="0"/>
          <w:sz w:val="32"/>
          <w:szCs w:val="32"/>
          <w:bdr w:val="none" w:sz="0" w:space="0" w:color="auto" w:frame="1"/>
          <w14:ligatures w14:val="none"/>
        </w:rPr>
        <w:br/>
      </w:r>
    </w:p>
    <w:p w14:paraId="0E215B9B"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w:t>
      </w:r>
      <w:r w:rsidRPr="00377AD4">
        <w:rPr>
          <w:rFonts w:ascii="Times New Roman" w:eastAsia="Times New Roman" w:hAnsi="Times New Roman" w:cs="Times New Roman"/>
          <w:color w:val="000000"/>
          <w:kern w:val="0"/>
          <w:sz w:val="30"/>
          <w:szCs w:val="30"/>
          <w14:ligatures w14:val="none"/>
        </w:rPr>
        <w:tab/>
        <w:t xml:space="preserve">New funding pressures, such as projected Medicare savings tied to the </w:t>
      </w:r>
      <w:r>
        <w:rPr>
          <w:rFonts w:ascii="Times New Roman" w:eastAsia="Times New Roman" w:hAnsi="Times New Roman" w:cs="Times New Roman"/>
          <w:color w:val="000000"/>
          <w:kern w:val="0"/>
          <w:sz w:val="30"/>
          <w:szCs w:val="30"/>
          <w14:ligatures w14:val="none"/>
        </w:rPr>
        <w:t xml:space="preserve">      </w:t>
      </w:r>
    </w:p>
    <w:p w14:paraId="0F6BBF46"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 xml:space="preserve">         </w:t>
      </w:r>
      <w:r w:rsidRPr="00377AD4">
        <w:rPr>
          <w:rFonts w:ascii="Times New Roman" w:eastAsia="Times New Roman" w:hAnsi="Times New Roman" w:cs="Times New Roman"/>
          <w:color w:val="000000"/>
          <w:kern w:val="0"/>
          <w:sz w:val="30"/>
          <w:szCs w:val="30"/>
          <w14:ligatures w14:val="none"/>
        </w:rPr>
        <w:t xml:space="preserve">One Big Beautiful Bill Act, have raised the risk of future cuts, </w:t>
      </w:r>
    </w:p>
    <w:p w14:paraId="361DD8DC" w14:textId="2715E066"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 xml:space="preserve">         </w:t>
      </w:r>
      <w:r w:rsidRPr="00377AD4">
        <w:rPr>
          <w:rFonts w:ascii="Times New Roman" w:eastAsia="Times New Roman" w:hAnsi="Times New Roman" w:cs="Times New Roman"/>
          <w:color w:val="000000"/>
          <w:kern w:val="0"/>
          <w:sz w:val="30"/>
          <w:szCs w:val="30"/>
          <w14:ligatures w14:val="none"/>
        </w:rPr>
        <w:t>prompting insurers to adopt more conservative strategies.</w:t>
      </w:r>
    </w:p>
    <w:p w14:paraId="160613D1"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p>
    <w:p w14:paraId="17D25EEF"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sidRPr="00377AD4">
        <w:rPr>
          <w:rFonts w:ascii="Times New Roman" w:eastAsia="Times New Roman" w:hAnsi="Times New Roman" w:cs="Times New Roman"/>
          <w:color w:val="000000"/>
          <w:kern w:val="0"/>
          <w:sz w:val="30"/>
          <w:szCs w:val="30"/>
          <w14:ligatures w14:val="none"/>
        </w:rPr>
        <w:t>•</w:t>
      </w:r>
      <w:r w:rsidRPr="00377AD4">
        <w:rPr>
          <w:rFonts w:ascii="Times New Roman" w:eastAsia="Times New Roman" w:hAnsi="Times New Roman" w:cs="Times New Roman"/>
          <w:color w:val="000000"/>
          <w:kern w:val="0"/>
          <w:sz w:val="30"/>
          <w:szCs w:val="30"/>
          <w14:ligatures w14:val="none"/>
        </w:rPr>
        <w:tab/>
        <w:t xml:space="preserve">The industry is also responding to increased government scrutiny over </w:t>
      </w:r>
    </w:p>
    <w:p w14:paraId="0FA9924D"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 xml:space="preserve">          </w:t>
      </w:r>
      <w:r w:rsidRPr="00377AD4">
        <w:rPr>
          <w:rFonts w:ascii="Times New Roman" w:eastAsia="Times New Roman" w:hAnsi="Times New Roman" w:cs="Times New Roman"/>
          <w:color w:val="000000"/>
          <w:kern w:val="0"/>
          <w:sz w:val="30"/>
          <w:szCs w:val="30"/>
          <w14:ligatures w14:val="none"/>
        </w:rPr>
        <w:t xml:space="preserve">high MA costs — the Medicare Payment Advisory Commission </w:t>
      </w:r>
    </w:p>
    <w:p w14:paraId="267F127F" w14:textId="77777777" w:rsidR="00377AD4" w:rsidRDefault="00377AD4" w:rsidP="00377AD4">
      <w:pPr>
        <w:spacing w:after="0" w:line="240" w:lineRule="auto"/>
        <w:rPr>
          <w:rFonts w:ascii="Times New Roman" w:eastAsia="Times New Roman" w:hAnsi="Times New Roman" w:cs="Times New Roman"/>
          <w:color w:val="000000"/>
          <w:kern w:val="0"/>
          <w:sz w:val="30"/>
          <w:szCs w:val="30"/>
          <w14:ligatures w14:val="none"/>
        </w:rPr>
      </w:pPr>
      <w:r>
        <w:rPr>
          <w:rFonts w:ascii="Times New Roman" w:eastAsia="Times New Roman" w:hAnsi="Times New Roman" w:cs="Times New Roman"/>
          <w:color w:val="000000"/>
          <w:kern w:val="0"/>
          <w:sz w:val="30"/>
          <w:szCs w:val="30"/>
          <w14:ligatures w14:val="none"/>
        </w:rPr>
        <w:t xml:space="preserve">          </w:t>
      </w:r>
      <w:r w:rsidRPr="00377AD4">
        <w:rPr>
          <w:rFonts w:ascii="Times New Roman" w:eastAsia="Times New Roman" w:hAnsi="Times New Roman" w:cs="Times New Roman"/>
          <w:color w:val="000000"/>
          <w:kern w:val="0"/>
          <w:sz w:val="30"/>
          <w:szCs w:val="30"/>
          <w14:ligatures w14:val="none"/>
        </w:rPr>
        <w:t xml:space="preserve">estimates that MA costs ~$84 billion more annually than traditional </w:t>
      </w:r>
    </w:p>
    <w:p w14:paraId="6D50E994" w14:textId="1C7FB3CE" w:rsidR="00377AD4" w:rsidRPr="00377AD4" w:rsidRDefault="00377AD4" w:rsidP="00377AD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sz w:val="30"/>
          <w:szCs w:val="30"/>
          <w14:ligatures w14:val="none"/>
        </w:rPr>
        <w:t xml:space="preserve">          </w:t>
      </w:r>
      <w:r w:rsidRPr="00377AD4">
        <w:rPr>
          <w:rFonts w:ascii="Times New Roman" w:eastAsia="Times New Roman" w:hAnsi="Times New Roman" w:cs="Times New Roman"/>
          <w:color w:val="000000"/>
          <w:kern w:val="0"/>
          <w:sz w:val="30"/>
          <w:szCs w:val="30"/>
          <w14:ligatures w14:val="none"/>
        </w:rPr>
        <w:t xml:space="preserve">Medicare when adjusted for risk.  </w:t>
      </w:r>
      <w:r w:rsidRPr="00377AD4">
        <w:rPr>
          <w:rFonts w:ascii="Times New Roman" w:eastAsia="Times New Roman" w:hAnsi="Times New Roman" w:cs="Times New Roman"/>
          <w:color w:val="000000"/>
          <w:kern w:val="0"/>
          <w:sz w:val="18"/>
          <w:szCs w:val="18"/>
          <w:bdr w:val="none" w:sz="0" w:space="0" w:color="auto" w:frame="1"/>
          <w14:ligatures w14:val="none"/>
        </w:rPr>
        <w:br/>
      </w:r>
    </w:p>
    <w:p w14:paraId="541DB2AC" w14:textId="77777777" w:rsidR="00377AD4" w:rsidRPr="00377AD4" w:rsidRDefault="00377AD4" w:rsidP="00377AD4">
      <w:pPr>
        <w:spacing w:after="0" w:line="240" w:lineRule="auto"/>
        <w:textAlignment w:val="baseline"/>
        <w:rPr>
          <w:rFonts w:ascii="Aptos" w:eastAsia="Times New Roman" w:hAnsi="Aptos" w:cs="Times New Roman"/>
          <w:color w:val="000000"/>
          <w:kern w:val="0"/>
          <w14:ligatures w14:val="none"/>
        </w:rPr>
      </w:pPr>
    </w:p>
    <w:p w14:paraId="74C0B437" w14:textId="77777777" w:rsidR="00377AD4" w:rsidRDefault="00377AD4"/>
    <w:sectPr w:rsidR="0037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TimesNewRomanPS-BoldMT">
    <w:altName w:val="Times New Roman"/>
    <w:panose1 w:val="020B0604020202020204"/>
    <w:charset w:val="00"/>
    <w:family w:val="roman"/>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E5"/>
    <w:multiLevelType w:val="multilevel"/>
    <w:tmpl w:val="5822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D3CC9"/>
    <w:multiLevelType w:val="multilevel"/>
    <w:tmpl w:val="747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50773"/>
    <w:multiLevelType w:val="multilevel"/>
    <w:tmpl w:val="E86A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CA2664"/>
    <w:multiLevelType w:val="multilevel"/>
    <w:tmpl w:val="E340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F22C66"/>
    <w:multiLevelType w:val="multilevel"/>
    <w:tmpl w:val="17E4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654514">
    <w:abstractNumId w:val="3"/>
  </w:num>
  <w:num w:numId="2" w16cid:durableId="773478242">
    <w:abstractNumId w:val="1"/>
  </w:num>
  <w:num w:numId="3" w16cid:durableId="1757944928">
    <w:abstractNumId w:val="2"/>
  </w:num>
  <w:num w:numId="4" w16cid:durableId="838082191">
    <w:abstractNumId w:val="4"/>
  </w:num>
  <w:num w:numId="5" w16cid:durableId="139312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D4"/>
    <w:rsid w:val="00377AD4"/>
    <w:rsid w:val="00C06C2B"/>
    <w:rsid w:val="00F0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7348"/>
  <w15:chartTrackingRefBased/>
  <w15:docId w15:val="{AE4F00C2-2CC1-3741-8D61-D3ECA93B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D4"/>
    <w:rPr>
      <w:rFonts w:eastAsiaTheme="majorEastAsia" w:cstheme="majorBidi"/>
      <w:color w:val="272727" w:themeColor="text1" w:themeTint="D8"/>
    </w:rPr>
  </w:style>
  <w:style w:type="paragraph" w:styleId="Title">
    <w:name w:val="Title"/>
    <w:basedOn w:val="Normal"/>
    <w:next w:val="Normal"/>
    <w:link w:val="TitleChar"/>
    <w:uiPriority w:val="10"/>
    <w:qFormat/>
    <w:rsid w:val="00377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D4"/>
    <w:pPr>
      <w:spacing w:before="160"/>
      <w:jc w:val="center"/>
    </w:pPr>
    <w:rPr>
      <w:i/>
      <w:iCs/>
      <w:color w:val="404040" w:themeColor="text1" w:themeTint="BF"/>
    </w:rPr>
  </w:style>
  <w:style w:type="character" w:customStyle="1" w:styleId="QuoteChar">
    <w:name w:val="Quote Char"/>
    <w:basedOn w:val="DefaultParagraphFont"/>
    <w:link w:val="Quote"/>
    <w:uiPriority w:val="29"/>
    <w:rsid w:val="00377AD4"/>
    <w:rPr>
      <w:i/>
      <w:iCs/>
      <w:color w:val="404040" w:themeColor="text1" w:themeTint="BF"/>
    </w:rPr>
  </w:style>
  <w:style w:type="paragraph" w:styleId="ListParagraph">
    <w:name w:val="List Paragraph"/>
    <w:basedOn w:val="Normal"/>
    <w:uiPriority w:val="34"/>
    <w:qFormat/>
    <w:rsid w:val="00377AD4"/>
    <w:pPr>
      <w:ind w:left="720"/>
      <w:contextualSpacing/>
    </w:pPr>
  </w:style>
  <w:style w:type="character" w:styleId="IntenseEmphasis">
    <w:name w:val="Intense Emphasis"/>
    <w:basedOn w:val="DefaultParagraphFont"/>
    <w:uiPriority w:val="21"/>
    <w:qFormat/>
    <w:rsid w:val="00377AD4"/>
    <w:rPr>
      <w:i/>
      <w:iCs/>
      <w:color w:val="0F4761" w:themeColor="accent1" w:themeShade="BF"/>
    </w:rPr>
  </w:style>
  <w:style w:type="paragraph" w:styleId="IntenseQuote">
    <w:name w:val="Intense Quote"/>
    <w:basedOn w:val="Normal"/>
    <w:next w:val="Normal"/>
    <w:link w:val="IntenseQuoteChar"/>
    <w:uiPriority w:val="30"/>
    <w:qFormat/>
    <w:rsid w:val="00377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D4"/>
    <w:rPr>
      <w:i/>
      <w:iCs/>
      <w:color w:val="0F4761" w:themeColor="accent1" w:themeShade="BF"/>
    </w:rPr>
  </w:style>
  <w:style w:type="character" w:styleId="IntenseReference">
    <w:name w:val="Intense Reference"/>
    <w:basedOn w:val="DefaultParagraphFont"/>
    <w:uiPriority w:val="32"/>
    <w:qFormat/>
    <w:rsid w:val="00377AD4"/>
    <w:rPr>
      <w:b/>
      <w:bCs/>
      <w:smallCaps/>
      <w:color w:val="0F4761" w:themeColor="accent1" w:themeShade="BF"/>
      <w:spacing w:val="5"/>
    </w:rPr>
  </w:style>
  <w:style w:type="paragraph" w:styleId="NormalWeb">
    <w:name w:val="Normal (Web)"/>
    <w:basedOn w:val="Normal"/>
    <w:uiPriority w:val="99"/>
    <w:semiHidden/>
    <w:unhideWhenUsed/>
    <w:rsid w:val="00377A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2199</Words>
  <Characters>12537</Characters>
  <Application>Microsoft Office Word</Application>
  <DocSecurity>0</DocSecurity>
  <Lines>104</Lines>
  <Paragraphs>29</Paragraphs>
  <ScaleCrop>false</ScaleCrop>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Ledoux</dc:creator>
  <cp:keywords/>
  <dc:description/>
  <cp:lastModifiedBy>Keith Ledoux</cp:lastModifiedBy>
  <cp:revision>2</cp:revision>
  <cp:lastPrinted>2025-10-19T21:46:00Z</cp:lastPrinted>
  <dcterms:created xsi:type="dcterms:W3CDTF">2025-10-20T12:09:00Z</dcterms:created>
  <dcterms:modified xsi:type="dcterms:W3CDTF">2025-10-20T12:09:00Z</dcterms:modified>
</cp:coreProperties>
</file>